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75" w:rsidRDefault="005E21D1" w:rsidP="005E21D1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5760720" cy="1112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268" w:rsidRPr="00331D82" w:rsidRDefault="00A31268" w:rsidP="00B675A6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>Several different scenarios should be analysed, including ‘visionary’ scenarios that</w:t>
      </w:r>
      <w:r w:rsidR="00FE57B8">
        <w:rPr>
          <w:color w:val="0000FF"/>
          <w:lang w:val="en-GB"/>
        </w:rPr>
        <w:t xml:space="preserve"> represent deliberate deviation </w:t>
      </w:r>
      <w:r w:rsidRPr="00331D82">
        <w:rPr>
          <w:color w:val="0000FF"/>
          <w:lang w:val="en-GB"/>
        </w:rPr>
        <w:t>from business as usual.</w:t>
      </w:r>
    </w:p>
    <w:p w:rsidR="00A31268" w:rsidRPr="00331D82" w:rsidRDefault="00A31268" w:rsidP="00B675A6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>More than one mo</w:t>
      </w:r>
      <w:r w:rsidR="00FE57B8">
        <w:rPr>
          <w:color w:val="0000FF"/>
          <w:lang w:val="en-GB"/>
        </w:rPr>
        <w:t>delling approach should be used, and u</w:t>
      </w:r>
      <w:r w:rsidRPr="00331D82">
        <w:rPr>
          <w:color w:val="0000FF"/>
          <w:lang w:val="en-GB"/>
        </w:rPr>
        <w:t>nderlying data and assumptions should be fully transparent.</w:t>
      </w:r>
    </w:p>
    <w:p w:rsidR="00A31268" w:rsidRPr="00331D82" w:rsidRDefault="00A31268" w:rsidP="00B675A6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>Comprehensive reference should be made to scientific evidence of impacts and risks of different technologies, across full cycle of production, use and disposal.</w:t>
      </w:r>
    </w:p>
    <w:p w:rsidR="00A31268" w:rsidRDefault="00A31268" w:rsidP="00B675A6">
      <w:pPr>
        <w:rPr>
          <w:lang w:val="en-GB"/>
        </w:rPr>
      </w:pPr>
    </w:p>
    <w:p w:rsidR="005E21D1" w:rsidRDefault="005E21D1" w:rsidP="005E21D1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5760720" cy="542676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0F3" w:rsidRPr="00331D82" w:rsidRDefault="009640F3" w:rsidP="009640F3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 xml:space="preserve">Suggest ticking </w:t>
      </w:r>
    </w:p>
    <w:p w:rsidR="00FE57B8" w:rsidRDefault="009640F3" w:rsidP="00FE57B8">
      <w:pPr>
        <w:spacing w:line="360" w:lineRule="auto"/>
        <w:rPr>
          <w:color w:val="0000FF"/>
          <w:lang w:val="en-GB"/>
        </w:rPr>
      </w:pPr>
      <w:r w:rsidRPr="00331D82">
        <w:rPr>
          <w:color w:val="0000FF"/>
          <w:lang w:val="en-GB"/>
        </w:rPr>
        <w:t>-</w:t>
      </w:r>
      <w:proofErr w:type="gramStart"/>
      <w:r w:rsidRPr="00331D82">
        <w:rPr>
          <w:color w:val="0000FF"/>
          <w:lang w:val="en-GB"/>
        </w:rPr>
        <w:t>further</w:t>
      </w:r>
      <w:proofErr w:type="gramEnd"/>
      <w:r w:rsidRPr="00331D82">
        <w:rPr>
          <w:color w:val="0000FF"/>
          <w:lang w:val="en-GB"/>
        </w:rPr>
        <w:t xml:space="preserve"> development of an international framework for cooperation on climate change (1)</w:t>
      </w:r>
      <w:r w:rsidRPr="00331D82">
        <w:rPr>
          <w:color w:val="0000FF"/>
          <w:lang w:val="en-GB"/>
        </w:rPr>
        <w:br/>
        <w:t>-global energy efficiency and demand developments (4)</w:t>
      </w:r>
    </w:p>
    <w:p w:rsidR="009640F3" w:rsidRPr="00331D82" w:rsidRDefault="009640F3" w:rsidP="00FE57B8">
      <w:pPr>
        <w:spacing w:line="360" w:lineRule="auto"/>
        <w:rPr>
          <w:color w:val="0000FF"/>
          <w:lang w:val="en-GB"/>
        </w:rPr>
      </w:pPr>
      <w:r w:rsidRPr="00331D82">
        <w:rPr>
          <w:color w:val="0000FF"/>
          <w:lang w:val="en-GB"/>
        </w:rPr>
        <w:t>-</w:t>
      </w:r>
      <w:proofErr w:type="gramStart"/>
      <w:r w:rsidRPr="00331D82">
        <w:rPr>
          <w:color w:val="0000FF"/>
          <w:lang w:val="en-GB"/>
        </w:rPr>
        <w:t>global</w:t>
      </w:r>
      <w:proofErr w:type="gramEnd"/>
      <w:r w:rsidRPr="00331D82">
        <w:rPr>
          <w:color w:val="0000FF"/>
          <w:lang w:val="en-GB"/>
        </w:rPr>
        <w:t xml:space="preserve"> development of renewable energy (6)</w:t>
      </w:r>
    </w:p>
    <w:p w:rsidR="008F02A2" w:rsidRPr="00331D82" w:rsidRDefault="009640F3" w:rsidP="005E21D1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>+</w:t>
      </w:r>
      <w:r w:rsidR="00331D82" w:rsidRPr="00331D82">
        <w:rPr>
          <w:color w:val="0000FF"/>
          <w:lang w:val="en-GB"/>
        </w:rPr>
        <w:t xml:space="preserve"> </w:t>
      </w:r>
      <w:proofErr w:type="gramStart"/>
      <w:r w:rsidR="00331D82" w:rsidRPr="00331D82">
        <w:rPr>
          <w:color w:val="0000FF"/>
          <w:lang w:val="en-GB"/>
        </w:rPr>
        <w:t>other</w:t>
      </w:r>
      <w:proofErr w:type="gramEnd"/>
      <w:r w:rsidR="00331D82" w:rsidRPr="00331D82">
        <w:rPr>
          <w:color w:val="0000FF"/>
          <w:lang w:val="en-GB"/>
        </w:rPr>
        <w:t xml:space="preserve"> developments:</w:t>
      </w:r>
    </w:p>
    <w:p w:rsidR="008F02A2" w:rsidRPr="00331D82" w:rsidRDefault="008F02A2" w:rsidP="005E21D1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 xml:space="preserve">Long term external costs / hazards of energy sources should be taken account of. </w:t>
      </w:r>
    </w:p>
    <w:p w:rsidR="009640F3" w:rsidRPr="00331D82" w:rsidRDefault="008F02A2" w:rsidP="005E21D1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>EU should</w:t>
      </w:r>
      <w:r w:rsidR="007276A5" w:rsidRPr="00331D82">
        <w:rPr>
          <w:color w:val="0000FF"/>
          <w:lang w:val="en-GB"/>
        </w:rPr>
        <w:t xml:space="preserve"> closely examine </w:t>
      </w:r>
      <w:r w:rsidR="002E6162" w:rsidRPr="00331D82">
        <w:rPr>
          <w:color w:val="0000FF"/>
          <w:lang w:val="en-GB"/>
        </w:rPr>
        <w:t xml:space="preserve">and employ </w:t>
      </w:r>
      <w:r w:rsidRPr="00331D82">
        <w:rPr>
          <w:color w:val="0000FF"/>
          <w:lang w:val="en-GB"/>
        </w:rPr>
        <w:t>best practice in</w:t>
      </w:r>
      <w:r w:rsidR="007276A5" w:rsidRPr="00331D82">
        <w:rPr>
          <w:color w:val="0000FF"/>
          <w:lang w:val="en-GB"/>
        </w:rPr>
        <w:t xml:space="preserve"> third countries </w:t>
      </w:r>
      <w:r w:rsidRPr="00331D82">
        <w:rPr>
          <w:color w:val="0000FF"/>
          <w:lang w:val="en-GB"/>
        </w:rPr>
        <w:t>in promoting energy efficiency.</w:t>
      </w:r>
    </w:p>
    <w:p w:rsidR="005E21D1" w:rsidRDefault="005E21D1" w:rsidP="005E21D1">
      <w:pPr>
        <w:rPr>
          <w:lang w:val="en-GB"/>
        </w:rPr>
      </w:pPr>
    </w:p>
    <w:p w:rsidR="005E21D1" w:rsidRDefault="005E21D1" w:rsidP="005E21D1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5760720" cy="56456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1D1" w:rsidRDefault="005E21D1" w:rsidP="005E21D1">
      <w:pPr>
        <w:rPr>
          <w:lang w:val="en-GB"/>
        </w:rPr>
      </w:pPr>
    </w:p>
    <w:p w:rsidR="00331D82" w:rsidRPr="00331D82" w:rsidRDefault="0049102A" w:rsidP="005E21D1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 xml:space="preserve">Suggest ticking </w:t>
      </w:r>
    </w:p>
    <w:p w:rsidR="00331D82" w:rsidRPr="00331D82" w:rsidRDefault="00331D82" w:rsidP="005E21D1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>-Increased importance of access to high-performance energy infrastructures (e.g. smart meters and grids) (2)</w:t>
      </w:r>
    </w:p>
    <w:p w:rsidR="00331D82" w:rsidRPr="00331D82" w:rsidRDefault="00331D82" w:rsidP="005E21D1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>-Creation of sustainable and publicly acceptable energy source</w:t>
      </w:r>
      <w:r w:rsidR="00FE57B8">
        <w:rPr>
          <w:color w:val="0000FF"/>
          <w:lang w:val="en-GB"/>
        </w:rPr>
        <w:t>s</w:t>
      </w:r>
      <w:r w:rsidRPr="00331D82">
        <w:rPr>
          <w:color w:val="0000FF"/>
          <w:lang w:val="en-GB"/>
        </w:rPr>
        <w:t xml:space="preserve"> (4)</w:t>
      </w:r>
    </w:p>
    <w:p w:rsidR="0049102A" w:rsidRPr="00331D82" w:rsidRDefault="00331D82" w:rsidP="005E21D1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>-</w:t>
      </w:r>
      <w:proofErr w:type="gramStart"/>
      <w:r w:rsidRPr="00331D82">
        <w:rPr>
          <w:color w:val="0000FF"/>
          <w:lang w:val="en-GB"/>
        </w:rPr>
        <w:t>increased</w:t>
      </w:r>
      <w:proofErr w:type="gramEnd"/>
      <w:r w:rsidRPr="00331D82">
        <w:rPr>
          <w:color w:val="0000FF"/>
          <w:lang w:val="en-GB"/>
        </w:rPr>
        <w:t xml:space="preserve"> scope for decentralised power generation and for local, integrated solutions for meeting energy, waste management and other needs of communities (</w:t>
      </w:r>
      <w:r w:rsidR="0049102A" w:rsidRPr="00331D82">
        <w:rPr>
          <w:color w:val="0000FF"/>
          <w:lang w:val="en-GB"/>
        </w:rPr>
        <w:t>6</w:t>
      </w:r>
      <w:r w:rsidRPr="00331D82">
        <w:rPr>
          <w:color w:val="0000FF"/>
          <w:lang w:val="en-GB"/>
        </w:rPr>
        <w:t>)</w:t>
      </w:r>
    </w:p>
    <w:p w:rsidR="0049102A" w:rsidRPr="00331D82" w:rsidRDefault="0049102A" w:rsidP="005E21D1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>+</w:t>
      </w:r>
      <w:r w:rsidR="00331D82">
        <w:rPr>
          <w:color w:val="0000FF"/>
          <w:lang w:val="en-GB"/>
        </w:rPr>
        <w:t xml:space="preserve"> </w:t>
      </w:r>
    </w:p>
    <w:p w:rsidR="005E21D1" w:rsidRPr="00331D82" w:rsidRDefault="002E6162" w:rsidP="005E21D1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>A s</w:t>
      </w:r>
      <w:r w:rsidR="007276A5" w:rsidRPr="00331D82">
        <w:rPr>
          <w:color w:val="0000FF"/>
          <w:lang w:val="en-GB"/>
        </w:rPr>
        <w:t>tronger EU push</w:t>
      </w:r>
      <w:r w:rsidRPr="00331D82">
        <w:rPr>
          <w:color w:val="0000FF"/>
          <w:lang w:val="en-GB"/>
        </w:rPr>
        <w:t xml:space="preserve"> </w:t>
      </w:r>
      <w:r w:rsidR="007276A5" w:rsidRPr="00331D82">
        <w:rPr>
          <w:color w:val="0000FF"/>
          <w:lang w:val="en-GB"/>
        </w:rPr>
        <w:t>is needed to overcome price, administrative and legal barriers to energy efficiency investments</w:t>
      </w:r>
      <w:r w:rsidR="006B3B6F" w:rsidRPr="00331D82">
        <w:rPr>
          <w:color w:val="0000FF"/>
          <w:lang w:val="en-GB"/>
        </w:rPr>
        <w:t>. This should include</w:t>
      </w:r>
      <w:r w:rsidRPr="00331D82">
        <w:rPr>
          <w:color w:val="0000FF"/>
          <w:lang w:val="en-GB"/>
        </w:rPr>
        <w:t xml:space="preserve"> binding targets, financing and tax shifts.</w:t>
      </w:r>
    </w:p>
    <w:p w:rsidR="005E21D1" w:rsidRDefault="005E21D1" w:rsidP="005E21D1">
      <w:pPr>
        <w:rPr>
          <w:lang w:val="en-GB"/>
        </w:rPr>
      </w:pPr>
    </w:p>
    <w:p w:rsidR="005E21D1" w:rsidRDefault="005E21D1" w:rsidP="005E21D1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5760720" cy="477561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1D1" w:rsidRDefault="005E21D1" w:rsidP="005E21D1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5629275" cy="2762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D82" w:rsidRPr="00331D82" w:rsidRDefault="0049102A" w:rsidP="005E21D1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 xml:space="preserve">Suggest ticking </w:t>
      </w:r>
    </w:p>
    <w:p w:rsidR="00331D82" w:rsidRPr="00331D82" w:rsidRDefault="00331D82" w:rsidP="005E21D1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>-</w:t>
      </w:r>
      <w:proofErr w:type="gramStart"/>
      <w:r w:rsidRPr="00331D82">
        <w:rPr>
          <w:color w:val="0000FF"/>
          <w:lang w:val="en-GB"/>
        </w:rPr>
        <w:t>carbon</w:t>
      </w:r>
      <w:proofErr w:type="gramEnd"/>
      <w:r w:rsidRPr="00331D82">
        <w:rPr>
          <w:color w:val="0000FF"/>
          <w:lang w:val="en-GB"/>
        </w:rPr>
        <w:t xml:space="preserve"> pricing (2)</w:t>
      </w:r>
    </w:p>
    <w:p w:rsidR="00331D82" w:rsidRPr="00331D82" w:rsidRDefault="00331D82" w:rsidP="005E21D1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>-</w:t>
      </w:r>
      <w:proofErr w:type="gramStart"/>
      <w:r w:rsidRPr="00331D82">
        <w:rPr>
          <w:color w:val="0000FF"/>
          <w:lang w:val="en-GB"/>
        </w:rPr>
        <w:t>energy</w:t>
      </w:r>
      <w:proofErr w:type="gramEnd"/>
      <w:r w:rsidRPr="00331D82">
        <w:rPr>
          <w:color w:val="0000FF"/>
          <w:lang w:val="en-GB"/>
        </w:rPr>
        <w:t xml:space="preserve"> efficiency (5)</w:t>
      </w:r>
    </w:p>
    <w:p w:rsidR="005E21D1" w:rsidRPr="00331D82" w:rsidRDefault="00331D82" w:rsidP="005E21D1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>-</w:t>
      </w:r>
      <w:proofErr w:type="spellStart"/>
      <w:proofErr w:type="gramStart"/>
      <w:r w:rsidRPr="00331D82">
        <w:rPr>
          <w:color w:val="0000FF"/>
          <w:lang w:val="en-GB"/>
        </w:rPr>
        <w:t>renewables</w:t>
      </w:r>
      <w:proofErr w:type="spellEnd"/>
      <w:proofErr w:type="gramEnd"/>
      <w:r w:rsidRPr="00331D82">
        <w:rPr>
          <w:color w:val="0000FF"/>
          <w:lang w:val="en-GB"/>
        </w:rPr>
        <w:t xml:space="preserve"> (7)</w:t>
      </w:r>
    </w:p>
    <w:p w:rsidR="0049102A" w:rsidRPr="00331D82" w:rsidRDefault="0049102A" w:rsidP="005E21D1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>+</w:t>
      </w:r>
    </w:p>
    <w:p w:rsidR="007B2B77" w:rsidRPr="00331D82" w:rsidRDefault="007B2B77" w:rsidP="005E21D1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 xml:space="preserve">Account for long-term costs (e.g. for nuclear waste), environmental and security risks </w:t>
      </w:r>
    </w:p>
    <w:p w:rsidR="005E21D1" w:rsidRPr="00331D82" w:rsidRDefault="00471D95" w:rsidP="005E21D1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>Ensure absolute reductions in energy use, not just efficiency improvements.</w:t>
      </w:r>
    </w:p>
    <w:p w:rsidR="005E21D1" w:rsidRDefault="005E21D1" w:rsidP="005E21D1">
      <w:pPr>
        <w:rPr>
          <w:lang w:val="en-GB"/>
        </w:rPr>
      </w:pPr>
    </w:p>
    <w:p w:rsidR="005E21D1" w:rsidRDefault="005E21D1" w:rsidP="005E21D1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5760720" cy="5377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1D1" w:rsidRPr="00331D82" w:rsidRDefault="005E21D1" w:rsidP="005E21D1">
      <w:pPr>
        <w:rPr>
          <w:color w:val="0000FF"/>
          <w:lang w:val="en-GB"/>
        </w:rPr>
      </w:pPr>
    </w:p>
    <w:p w:rsidR="00050921" w:rsidRPr="00331D82" w:rsidRDefault="00471D95" w:rsidP="005E21D1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>Reducing overall GHG emissions by 80-95% by 2050 requires cutting emissions from the energy sector t</w:t>
      </w:r>
      <w:r w:rsidR="00050921" w:rsidRPr="00331D82">
        <w:rPr>
          <w:color w:val="0000FF"/>
          <w:lang w:val="en-GB"/>
        </w:rPr>
        <w:t xml:space="preserve">o almost zero. </w:t>
      </w:r>
    </w:p>
    <w:p w:rsidR="00050921" w:rsidRPr="00331D82" w:rsidRDefault="00050921" w:rsidP="005E21D1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>Given the many benefits of energy efficiency and renewable energy supplies in term</w:t>
      </w:r>
      <w:r w:rsidR="00FE57B8">
        <w:rPr>
          <w:color w:val="0000FF"/>
          <w:lang w:val="en-GB"/>
        </w:rPr>
        <w:t>s of security, competitiveness, jobs and waste</w:t>
      </w:r>
      <w:r w:rsidRPr="00331D82">
        <w:rPr>
          <w:color w:val="0000FF"/>
          <w:lang w:val="en-GB"/>
        </w:rPr>
        <w:t>, and in contrast the risks and uncertainties of nuclear power and CCS, the EU should aim for as close as possible to 100% renewable energy supplies in 2050.</w:t>
      </w:r>
    </w:p>
    <w:p w:rsidR="00BF02F5" w:rsidRPr="00331D82" w:rsidRDefault="00050921" w:rsidP="005E21D1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>To get the EU on the right track,</w:t>
      </w:r>
      <w:r w:rsidR="00BF02F5" w:rsidRPr="00331D82">
        <w:rPr>
          <w:color w:val="0000FF"/>
          <w:lang w:val="en-GB"/>
        </w:rPr>
        <w:t xml:space="preserve"> the EU must be in the right place by 2020:</w:t>
      </w:r>
    </w:p>
    <w:p w:rsidR="001F1B5A" w:rsidRPr="00331D82" w:rsidRDefault="00BF02F5" w:rsidP="001F1B5A">
      <w:pPr>
        <w:ind w:firstLine="708"/>
        <w:rPr>
          <w:color w:val="0000FF"/>
          <w:lang w:val="en-GB"/>
        </w:rPr>
      </w:pPr>
      <w:r w:rsidRPr="00331D82">
        <w:rPr>
          <w:color w:val="0000FF"/>
          <w:lang w:val="en-GB"/>
        </w:rPr>
        <w:t>-</w:t>
      </w:r>
      <w:r w:rsidR="00050921" w:rsidRPr="00331D82">
        <w:rPr>
          <w:color w:val="0000FF"/>
          <w:lang w:val="en-GB"/>
        </w:rPr>
        <w:t xml:space="preserve"> </w:t>
      </w:r>
      <w:proofErr w:type="gramStart"/>
      <w:r w:rsidR="00050921" w:rsidRPr="00331D82">
        <w:rPr>
          <w:color w:val="0000FF"/>
          <w:lang w:val="en-GB"/>
        </w:rPr>
        <w:t>its</w:t>
      </w:r>
      <w:proofErr w:type="gramEnd"/>
      <w:r w:rsidR="00050921" w:rsidRPr="00331D82">
        <w:rPr>
          <w:color w:val="0000FF"/>
          <w:lang w:val="en-GB"/>
        </w:rPr>
        <w:t xml:space="preserve"> 2020 GHG emission reduction target should be increased to at least 3</w:t>
      </w:r>
      <w:r w:rsidR="001F1B5A">
        <w:rPr>
          <w:color w:val="0000FF"/>
          <w:lang w:val="en-GB"/>
        </w:rPr>
        <w:t xml:space="preserve">0% domestic emission reductions </w:t>
      </w:r>
    </w:p>
    <w:p w:rsidR="00BF02F5" w:rsidRPr="00331D82" w:rsidRDefault="00BF02F5" w:rsidP="00BF02F5">
      <w:pPr>
        <w:ind w:firstLine="708"/>
        <w:rPr>
          <w:color w:val="0000FF"/>
          <w:lang w:val="en-GB"/>
        </w:rPr>
      </w:pPr>
    </w:p>
    <w:p w:rsidR="00BF02F5" w:rsidRPr="00331D82" w:rsidRDefault="001F1B5A" w:rsidP="001F1B5A">
      <w:pPr>
        <w:ind w:firstLine="708"/>
        <w:rPr>
          <w:color w:val="0000FF"/>
          <w:lang w:val="en-GB"/>
        </w:rPr>
      </w:pPr>
      <w:r>
        <w:rPr>
          <w:color w:val="0000FF"/>
          <w:lang w:val="en-GB"/>
        </w:rPr>
        <w:t>-</w:t>
      </w:r>
      <w:r w:rsidR="00050921" w:rsidRPr="00331D82">
        <w:rPr>
          <w:color w:val="0000FF"/>
          <w:lang w:val="en-GB"/>
        </w:rPr>
        <w:t xml:space="preserve"> </w:t>
      </w:r>
      <w:proofErr w:type="gramStart"/>
      <w:r w:rsidR="00050921" w:rsidRPr="00331D82">
        <w:rPr>
          <w:color w:val="0000FF"/>
          <w:lang w:val="en-GB"/>
        </w:rPr>
        <w:t>the</w:t>
      </w:r>
      <w:proofErr w:type="gramEnd"/>
      <w:r w:rsidR="00050921" w:rsidRPr="00331D82">
        <w:rPr>
          <w:color w:val="0000FF"/>
          <w:lang w:val="en-GB"/>
        </w:rPr>
        <w:t xml:space="preserve"> 20% energy saving target should be made binding to create investor certainty and governmen</w:t>
      </w:r>
      <w:r>
        <w:rPr>
          <w:color w:val="0000FF"/>
          <w:lang w:val="en-GB"/>
        </w:rPr>
        <w:t xml:space="preserve">t commitment and accountability  </w:t>
      </w:r>
    </w:p>
    <w:p w:rsidR="00BF02F5" w:rsidRPr="00331D82" w:rsidRDefault="00BF02F5" w:rsidP="00BF02F5">
      <w:pPr>
        <w:ind w:firstLine="708"/>
        <w:rPr>
          <w:color w:val="0000FF"/>
          <w:lang w:val="en-GB"/>
        </w:rPr>
      </w:pPr>
      <w:r w:rsidRPr="00331D82">
        <w:rPr>
          <w:color w:val="0000FF"/>
          <w:lang w:val="en-GB"/>
        </w:rPr>
        <w:t>-</w:t>
      </w:r>
      <w:proofErr w:type="gramStart"/>
      <w:r w:rsidRPr="00331D82">
        <w:rPr>
          <w:color w:val="0000FF"/>
          <w:lang w:val="en-GB"/>
        </w:rPr>
        <w:t>the</w:t>
      </w:r>
      <w:proofErr w:type="gramEnd"/>
      <w:r w:rsidRPr="00331D82">
        <w:rPr>
          <w:color w:val="0000FF"/>
          <w:lang w:val="en-GB"/>
        </w:rPr>
        <w:t xml:space="preserve"> renewable energy targets must be met</w:t>
      </w:r>
      <w:r w:rsidR="002F4DBE" w:rsidRPr="00331D82">
        <w:rPr>
          <w:color w:val="0000FF"/>
          <w:lang w:val="en-GB"/>
        </w:rPr>
        <w:t>, so close scrutiny of the Directive’s implementation is crucial</w:t>
      </w:r>
    </w:p>
    <w:p w:rsidR="009344AA" w:rsidRPr="00331D82" w:rsidRDefault="00050921" w:rsidP="005E21D1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>Supporting references:</w:t>
      </w:r>
    </w:p>
    <w:p w:rsidR="00F86A5F" w:rsidRDefault="00C04003" w:rsidP="005E21D1">
      <w:pPr>
        <w:rPr>
          <w:color w:val="0000FF"/>
          <w:lang w:val="en-GB"/>
        </w:rPr>
      </w:pPr>
      <w:r w:rsidRPr="00331D82">
        <w:rPr>
          <w:color w:val="0000FF"/>
          <w:lang w:val="en-GB"/>
        </w:rPr>
        <w:t>Greenpeace/EREC: Energy [</w:t>
      </w:r>
      <w:proofErr w:type="gramStart"/>
      <w:r w:rsidRPr="00331D82">
        <w:rPr>
          <w:color w:val="0000FF"/>
          <w:lang w:val="en-GB"/>
        </w:rPr>
        <w:t>R]evolution</w:t>
      </w:r>
      <w:proofErr w:type="gramEnd"/>
      <w:r w:rsidRPr="00331D82">
        <w:rPr>
          <w:color w:val="0000FF"/>
          <w:lang w:val="en-GB"/>
        </w:rPr>
        <w:t xml:space="preserve"> – towards a fully renewable energy supply in the EU 27, </w:t>
      </w:r>
      <w:hyperlink r:id="rId12" w:history="1">
        <w:r w:rsidRPr="00331D82">
          <w:rPr>
            <w:rStyle w:val="Hyperlink"/>
            <w:lang w:val="en-GB"/>
          </w:rPr>
          <w:t>http://www.greenpeace.org/raw/content/eu-unit/press-centre/reports/EU-Energy-(R)-evolution-</w:t>
        </w:r>
        <w:proofErr w:type="spellStart"/>
        <w:r w:rsidRPr="00331D82">
          <w:rPr>
            <w:rStyle w:val="Hyperlink"/>
            <w:lang w:val="en-GB"/>
          </w:rPr>
          <w:t>scenario.pdf</w:t>
        </w:r>
        <w:proofErr w:type="spellEnd"/>
      </w:hyperlink>
      <w:r w:rsidRPr="00331D82">
        <w:rPr>
          <w:color w:val="0000FF"/>
          <w:lang w:val="en-GB"/>
        </w:rPr>
        <w:t xml:space="preserve"> (page 64-65</w:t>
      </w:r>
      <w:r w:rsidR="00050921" w:rsidRPr="00331D82">
        <w:rPr>
          <w:color w:val="0000FF"/>
          <w:lang w:val="en-GB"/>
        </w:rPr>
        <w:t>)</w:t>
      </w:r>
    </w:p>
    <w:p w:rsidR="00F86A5F" w:rsidRDefault="00F86A5F" w:rsidP="005E21D1">
      <w:pPr>
        <w:rPr>
          <w:color w:val="0000FF"/>
          <w:lang w:val="en-GB"/>
        </w:rPr>
      </w:pPr>
      <w:r>
        <w:rPr>
          <w:color w:val="0000FF"/>
          <w:lang w:val="en-GB"/>
        </w:rPr>
        <w:t xml:space="preserve">WWF: The Energy Report: 100% Renewable Energy by 2050, </w:t>
      </w:r>
      <w:hyperlink r:id="rId13" w:history="1">
        <w:r w:rsidRPr="003260C9">
          <w:rPr>
            <w:rStyle w:val="Hyperlink"/>
            <w:lang w:val="en-GB"/>
          </w:rPr>
          <w:t>http://wwf.panda.org/what_we_do/footprint/climate_carbon_energy/energy_solutions/renewable_energy/sustainable_energy_report/</w:t>
        </w:r>
      </w:hyperlink>
    </w:p>
    <w:p w:rsidR="00BB012A" w:rsidRPr="00331D82" w:rsidRDefault="00F86A5F" w:rsidP="005E21D1">
      <w:pPr>
        <w:rPr>
          <w:color w:val="0000FF"/>
          <w:lang w:val="en-GB"/>
        </w:rPr>
      </w:pPr>
      <w:r>
        <w:rPr>
          <w:color w:val="0000FF"/>
          <w:lang w:val="en-GB"/>
        </w:rPr>
        <w:t xml:space="preserve">CAN-Europe: </w:t>
      </w:r>
      <w:r w:rsidR="00BB012A" w:rsidRPr="00331D82">
        <w:rPr>
          <w:color w:val="0000FF"/>
          <w:lang w:val="en-GB"/>
        </w:rPr>
        <w:t xml:space="preserve">“30%: why Europe should strengthen its 2020 climate action” February 2011, </w:t>
      </w:r>
      <w:hyperlink r:id="rId14" w:history="1">
        <w:r w:rsidR="00BB012A" w:rsidRPr="00331D82">
          <w:rPr>
            <w:rStyle w:val="Hyperlink"/>
            <w:lang w:val="en-GB"/>
          </w:rPr>
          <w:t>http://www.caneurope.org</w:t>
        </w:r>
      </w:hyperlink>
    </w:p>
    <w:p w:rsidR="0059319E" w:rsidRPr="00331D82" w:rsidRDefault="00F86A5F" w:rsidP="005E21D1">
      <w:pPr>
        <w:rPr>
          <w:color w:val="0000FF"/>
          <w:lang w:val="en-GB"/>
        </w:rPr>
      </w:pPr>
      <w:r>
        <w:rPr>
          <w:color w:val="0000FF"/>
          <w:lang w:val="en-GB"/>
        </w:rPr>
        <w:t xml:space="preserve">ECF/RAP: </w:t>
      </w:r>
      <w:r w:rsidR="00BB012A" w:rsidRPr="00331D82">
        <w:rPr>
          <w:color w:val="0000FF"/>
          <w:lang w:val="en-GB"/>
        </w:rPr>
        <w:t xml:space="preserve">“Energy Savings 2020: How to triple the impact of energy saving policies in Europe” – </w:t>
      </w:r>
      <w:proofErr w:type="spellStart"/>
      <w:r w:rsidR="00BB012A" w:rsidRPr="00331D82">
        <w:rPr>
          <w:color w:val="0000FF"/>
          <w:lang w:val="en-GB"/>
        </w:rPr>
        <w:t>Ecofys</w:t>
      </w:r>
      <w:proofErr w:type="spellEnd"/>
      <w:r w:rsidR="00BB012A" w:rsidRPr="00331D82">
        <w:rPr>
          <w:color w:val="0000FF"/>
          <w:lang w:val="en-GB"/>
        </w:rPr>
        <w:t xml:space="preserve"> / </w:t>
      </w:r>
      <w:proofErr w:type="spellStart"/>
      <w:r w:rsidR="00BB012A" w:rsidRPr="00331D82">
        <w:rPr>
          <w:color w:val="0000FF"/>
          <w:lang w:val="en-GB"/>
        </w:rPr>
        <w:t>Fraunhofer</w:t>
      </w:r>
      <w:proofErr w:type="spellEnd"/>
      <w:r w:rsidR="00BB012A" w:rsidRPr="00331D82">
        <w:rPr>
          <w:color w:val="0000FF"/>
          <w:lang w:val="en-GB"/>
        </w:rPr>
        <w:t xml:space="preserve"> September 2010, http://www.roadmap2050.eu/attachments/files/1EnergySavings2020-FullReport.pdf</w:t>
      </w:r>
    </w:p>
    <w:p w:rsidR="007B2B77" w:rsidRDefault="007B2B77" w:rsidP="005E21D1">
      <w:pPr>
        <w:rPr>
          <w:lang w:val="en-GB"/>
        </w:rPr>
      </w:pPr>
    </w:p>
    <w:p w:rsidR="005E21D1" w:rsidRPr="001F1B5A" w:rsidRDefault="005E21D1" w:rsidP="005E21D1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5760720" cy="47897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5A" w:rsidRPr="001F1B5A" w:rsidRDefault="001F1B5A" w:rsidP="005E21D1">
      <w:pPr>
        <w:rPr>
          <w:color w:val="0000FF"/>
          <w:lang w:val="en-GB"/>
        </w:rPr>
      </w:pPr>
      <w:r w:rsidRPr="001F1B5A">
        <w:rPr>
          <w:color w:val="0000FF"/>
          <w:lang w:val="en-GB"/>
        </w:rPr>
        <w:t xml:space="preserve">Suggest </w:t>
      </w:r>
      <w:proofErr w:type="gramStart"/>
      <w:r w:rsidRPr="001F1B5A">
        <w:rPr>
          <w:color w:val="0000FF"/>
          <w:lang w:val="en-GB"/>
        </w:rPr>
        <w:t>ticking :</w:t>
      </w:r>
      <w:proofErr w:type="gramEnd"/>
    </w:p>
    <w:p w:rsidR="001F1B5A" w:rsidRPr="001F1B5A" w:rsidRDefault="001F1B5A" w:rsidP="005E21D1">
      <w:pPr>
        <w:rPr>
          <w:color w:val="0000FF"/>
          <w:lang w:val="en-GB"/>
        </w:rPr>
      </w:pPr>
      <w:r w:rsidRPr="001F1B5A">
        <w:rPr>
          <w:color w:val="0000FF"/>
          <w:lang w:val="en-GB"/>
        </w:rPr>
        <w:t>-</w:t>
      </w:r>
      <w:proofErr w:type="gramStart"/>
      <w:r w:rsidRPr="001F1B5A">
        <w:rPr>
          <w:color w:val="0000FF"/>
          <w:lang w:val="en-GB"/>
        </w:rPr>
        <w:t>global</w:t>
      </w:r>
      <w:proofErr w:type="gramEnd"/>
      <w:r w:rsidRPr="001F1B5A">
        <w:rPr>
          <w:color w:val="0000FF"/>
          <w:lang w:val="en-GB"/>
        </w:rPr>
        <w:t xml:space="preserve"> fossil fuel prices, compared to costs of domestic energy resources (1)</w:t>
      </w:r>
    </w:p>
    <w:p w:rsidR="001F1B5A" w:rsidRPr="001F1B5A" w:rsidRDefault="001F1B5A" w:rsidP="005E21D1">
      <w:pPr>
        <w:rPr>
          <w:color w:val="0000FF"/>
          <w:lang w:val="en-GB"/>
        </w:rPr>
      </w:pPr>
      <w:r w:rsidRPr="001F1B5A">
        <w:rPr>
          <w:color w:val="0000FF"/>
          <w:lang w:val="en-GB"/>
        </w:rPr>
        <w:t>-</w:t>
      </w:r>
      <w:proofErr w:type="gramStart"/>
      <w:r w:rsidRPr="001F1B5A">
        <w:rPr>
          <w:color w:val="0000FF"/>
          <w:lang w:val="en-GB"/>
        </w:rPr>
        <w:t>international</w:t>
      </w:r>
      <w:proofErr w:type="gramEnd"/>
      <w:r w:rsidRPr="001F1B5A">
        <w:rPr>
          <w:color w:val="0000FF"/>
          <w:lang w:val="en-GB"/>
        </w:rPr>
        <w:t xml:space="preserve"> framework for cooperation on climate (7)</w:t>
      </w:r>
    </w:p>
    <w:p w:rsidR="001F1B5A" w:rsidRPr="001F1B5A" w:rsidRDefault="001F1B5A" w:rsidP="005E21D1">
      <w:pPr>
        <w:rPr>
          <w:color w:val="0000FF"/>
          <w:lang w:val="en-GB"/>
        </w:rPr>
      </w:pPr>
      <w:r w:rsidRPr="001F1B5A">
        <w:rPr>
          <w:color w:val="0000FF"/>
          <w:lang w:val="en-GB"/>
        </w:rPr>
        <w:t>-EU climate policy (8)</w:t>
      </w:r>
    </w:p>
    <w:p w:rsidR="001F1B5A" w:rsidRPr="001F1B5A" w:rsidRDefault="001F1B5A" w:rsidP="005E21D1">
      <w:pPr>
        <w:rPr>
          <w:color w:val="0000FF"/>
          <w:lang w:val="en-GB"/>
        </w:rPr>
      </w:pPr>
      <w:r w:rsidRPr="001F1B5A">
        <w:rPr>
          <w:color w:val="0000FF"/>
          <w:lang w:val="en-GB"/>
        </w:rPr>
        <w:t>+</w:t>
      </w:r>
      <w:r w:rsidR="00FE57B8">
        <w:rPr>
          <w:color w:val="0000FF"/>
          <w:lang w:val="en-GB"/>
        </w:rPr>
        <w:t xml:space="preserve"> </w:t>
      </w:r>
      <w:proofErr w:type="gramStart"/>
      <w:r w:rsidR="00FE57B8">
        <w:rPr>
          <w:color w:val="0000FF"/>
          <w:lang w:val="en-GB"/>
        </w:rPr>
        <w:t>other</w:t>
      </w:r>
      <w:proofErr w:type="gramEnd"/>
      <w:r w:rsidR="00FE57B8">
        <w:rPr>
          <w:color w:val="0000FF"/>
          <w:lang w:val="en-GB"/>
        </w:rPr>
        <w:t xml:space="preserve"> key drivers:</w:t>
      </w:r>
    </w:p>
    <w:p w:rsidR="00BB012A" w:rsidRPr="001F1B5A" w:rsidRDefault="00BB012A" w:rsidP="005E21D1">
      <w:pPr>
        <w:rPr>
          <w:color w:val="0000FF"/>
          <w:lang w:val="en-GB"/>
        </w:rPr>
      </w:pPr>
      <w:r w:rsidRPr="001F1B5A">
        <w:rPr>
          <w:color w:val="0000FF"/>
          <w:lang w:val="en-GB"/>
        </w:rPr>
        <w:t>Internalisation of external costs</w:t>
      </w:r>
    </w:p>
    <w:p w:rsidR="00BB012A" w:rsidRPr="001F1B5A" w:rsidRDefault="00BB012A" w:rsidP="005E21D1">
      <w:pPr>
        <w:rPr>
          <w:color w:val="0000FF"/>
          <w:lang w:val="en-GB"/>
        </w:rPr>
      </w:pPr>
      <w:r w:rsidRPr="001F1B5A">
        <w:rPr>
          <w:color w:val="0000FF"/>
          <w:lang w:val="en-GB"/>
        </w:rPr>
        <w:t>Level playing field for new entrants</w:t>
      </w:r>
    </w:p>
    <w:p w:rsidR="00BB012A" w:rsidRPr="001F1B5A" w:rsidRDefault="00BB012A" w:rsidP="005E21D1">
      <w:pPr>
        <w:rPr>
          <w:color w:val="0000FF"/>
          <w:lang w:val="en-GB"/>
        </w:rPr>
      </w:pPr>
      <w:r w:rsidRPr="001F1B5A">
        <w:rPr>
          <w:color w:val="0000FF"/>
          <w:lang w:val="en-GB"/>
        </w:rPr>
        <w:t>Regulatory mandates</w:t>
      </w:r>
    </w:p>
    <w:p w:rsidR="00BB012A" w:rsidRPr="001F1B5A" w:rsidRDefault="002F4DBE" w:rsidP="005E21D1">
      <w:pPr>
        <w:rPr>
          <w:color w:val="0000FF"/>
          <w:lang w:val="en-GB"/>
        </w:rPr>
      </w:pPr>
      <w:r w:rsidRPr="001F1B5A">
        <w:rPr>
          <w:color w:val="0000FF"/>
          <w:lang w:val="en-GB"/>
        </w:rPr>
        <w:t>Fl</w:t>
      </w:r>
      <w:r w:rsidR="00BB012A" w:rsidRPr="001F1B5A">
        <w:rPr>
          <w:color w:val="0000FF"/>
          <w:lang w:val="en-GB"/>
        </w:rPr>
        <w:t xml:space="preserve">exible network management </w:t>
      </w:r>
    </w:p>
    <w:p w:rsidR="005E21D1" w:rsidRPr="001F1B5A" w:rsidRDefault="00BB012A" w:rsidP="005E21D1">
      <w:pPr>
        <w:rPr>
          <w:color w:val="0000FF"/>
          <w:lang w:val="en-GB"/>
        </w:rPr>
      </w:pPr>
      <w:r w:rsidRPr="001F1B5A">
        <w:rPr>
          <w:color w:val="0000FF"/>
          <w:lang w:val="en-GB"/>
        </w:rPr>
        <w:t xml:space="preserve">Updated grid codes </w:t>
      </w:r>
    </w:p>
    <w:p w:rsidR="005E21D1" w:rsidRDefault="005E21D1" w:rsidP="005E21D1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5760720" cy="9910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D82" w:rsidRDefault="00520277" w:rsidP="002F4DBE">
      <w:pPr>
        <w:rPr>
          <w:lang w:val="en-GB"/>
        </w:rPr>
      </w:pPr>
      <w:r>
        <w:rPr>
          <w:lang w:val="en-GB"/>
        </w:rPr>
        <w:t xml:space="preserve">It is projected that cost-effective energy savings could deliver half of the 80% domestic GHG emission reductions that the EU needs to make by 2050 (see: </w:t>
      </w:r>
      <w:hyperlink r:id="rId17" w:history="1">
        <w:r w:rsidRPr="00E83CA9">
          <w:rPr>
            <w:rStyle w:val="Hyperlink"/>
            <w:lang w:val="en-GB"/>
          </w:rPr>
          <w:t>http://roadmap2050.eu/attachments/files/1EnergySavings2020-FullReport.pdf</w:t>
        </w:r>
      </w:hyperlink>
      <w:r>
        <w:rPr>
          <w:lang w:val="en-GB"/>
        </w:rPr>
        <w:t xml:space="preserve">, p.4). </w:t>
      </w:r>
    </w:p>
    <w:p w:rsidR="002F4DBE" w:rsidRPr="00D3557D" w:rsidRDefault="00331D82" w:rsidP="002F4DBE">
      <w:pPr>
        <w:rPr>
          <w:lang w:val="en-GB"/>
        </w:rPr>
      </w:pPr>
      <w:r>
        <w:rPr>
          <w:lang w:val="en-GB"/>
        </w:rPr>
        <w:t>Tapping this potential across all sectors should be</w:t>
      </w:r>
      <w:r w:rsidR="00520277">
        <w:rPr>
          <w:lang w:val="en-GB"/>
        </w:rPr>
        <w:t xml:space="preserve"> a</w:t>
      </w:r>
      <w:r w:rsidR="002F4DBE">
        <w:rPr>
          <w:lang w:val="en-GB"/>
        </w:rPr>
        <w:t xml:space="preserve"> pre</w:t>
      </w:r>
      <w:r w:rsidR="00520277">
        <w:rPr>
          <w:lang w:val="en-GB"/>
        </w:rPr>
        <w:t xml:space="preserve">requisite </w:t>
      </w:r>
      <w:r w:rsidR="002F4DBE">
        <w:rPr>
          <w:lang w:val="en-GB"/>
        </w:rPr>
        <w:t>for the EU 2050 Energy Roadmap</w:t>
      </w:r>
      <w:r w:rsidR="00520277">
        <w:rPr>
          <w:lang w:val="en-GB"/>
        </w:rPr>
        <w:t xml:space="preserve">. Even with increased </w:t>
      </w:r>
      <w:r w:rsidR="002F4DBE">
        <w:rPr>
          <w:lang w:val="en-GB"/>
        </w:rPr>
        <w:t>electrification of</w:t>
      </w:r>
      <w:r w:rsidR="00520277">
        <w:rPr>
          <w:lang w:val="en-GB"/>
        </w:rPr>
        <w:t xml:space="preserve"> t</w:t>
      </w:r>
      <w:r>
        <w:rPr>
          <w:lang w:val="en-GB"/>
        </w:rPr>
        <w:t>he transport and heat sectors, i</w:t>
      </w:r>
      <w:r w:rsidR="00520277">
        <w:rPr>
          <w:lang w:val="en-GB"/>
        </w:rPr>
        <w:t xml:space="preserve">t is estimated that Europe can cut its overall energy demand by one third compared with 2007 </w:t>
      </w:r>
      <w:r w:rsidR="002F4DBE">
        <w:rPr>
          <w:lang w:val="en-GB"/>
        </w:rPr>
        <w:t xml:space="preserve">(see: </w:t>
      </w:r>
      <w:hyperlink r:id="rId18" w:history="1">
        <w:r w:rsidR="002F4DBE" w:rsidRPr="00D3557D">
          <w:rPr>
            <w:rStyle w:val="Hyperlink"/>
            <w:lang w:val="en-GB"/>
          </w:rPr>
          <w:t>http://www.greenpeace.org/raw/content/eu-unit/press-centre/reports/EU-Energy-(R)-evolution-</w:t>
        </w:r>
        <w:proofErr w:type="spellStart"/>
        <w:r w:rsidR="002F4DBE" w:rsidRPr="00D3557D">
          <w:rPr>
            <w:rStyle w:val="Hyperlink"/>
            <w:lang w:val="en-GB"/>
          </w:rPr>
          <w:t>scenario.pdf</w:t>
        </w:r>
        <w:proofErr w:type="spellEnd"/>
      </w:hyperlink>
      <w:r w:rsidR="002F4DBE" w:rsidRPr="00D3557D">
        <w:rPr>
          <w:lang w:val="en-GB"/>
        </w:rPr>
        <w:t>)</w:t>
      </w:r>
      <w:r w:rsidR="002F4DBE">
        <w:rPr>
          <w:lang w:val="en-GB"/>
        </w:rPr>
        <w:t>.</w:t>
      </w:r>
    </w:p>
    <w:p w:rsidR="004363DA" w:rsidRDefault="00520277" w:rsidP="005E21D1">
      <w:pPr>
        <w:rPr>
          <w:lang w:val="en-GB"/>
        </w:rPr>
      </w:pPr>
      <w:r>
        <w:rPr>
          <w:lang w:val="en-GB"/>
        </w:rPr>
        <w:t>Over and above energy savings, t</w:t>
      </w:r>
      <w:r w:rsidR="004C6D4B">
        <w:rPr>
          <w:lang w:val="en-GB"/>
        </w:rPr>
        <w:t>he development of the Ene</w:t>
      </w:r>
      <w:r w:rsidR="0037177C">
        <w:rPr>
          <w:lang w:val="en-GB"/>
        </w:rPr>
        <w:t>rgy Roadmap 2050 should consider</w:t>
      </w:r>
      <w:r w:rsidR="004C6D4B">
        <w:rPr>
          <w:lang w:val="en-GB"/>
        </w:rPr>
        <w:t xml:space="preserve"> strategic choices to minimise system costs. Integrating variable </w:t>
      </w:r>
      <w:proofErr w:type="spellStart"/>
      <w:r w:rsidR="004C6D4B">
        <w:rPr>
          <w:lang w:val="en-GB"/>
        </w:rPr>
        <w:t>renewables</w:t>
      </w:r>
      <w:proofErr w:type="spellEnd"/>
      <w:r w:rsidR="004C6D4B">
        <w:rPr>
          <w:lang w:val="en-GB"/>
        </w:rPr>
        <w:t xml:space="preserve"> with nuclear and inflexible CCS-based coal power stations is expected to be more expensive than the system integration of</w:t>
      </w:r>
      <w:r w:rsidR="00D572CE">
        <w:rPr>
          <w:lang w:val="en-GB"/>
        </w:rPr>
        <w:t xml:space="preserve"> 100% renewable energy </w:t>
      </w:r>
      <w:r w:rsidR="00D572CE" w:rsidRPr="004C1362">
        <w:rPr>
          <w:lang w:val="en-GB"/>
        </w:rPr>
        <w:t>sources</w:t>
      </w:r>
      <w:r w:rsidR="004C1362" w:rsidRPr="004C1362">
        <w:rPr>
          <w:lang w:val="en-GB"/>
        </w:rPr>
        <w:t>. (</w:t>
      </w:r>
      <w:proofErr w:type="gramStart"/>
      <w:r w:rsidR="004C1362" w:rsidRPr="004C1362">
        <w:rPr>
          <w:lang w:val="en-GB"/>
        </w:rPr>
        <w:t>see</w:t>
      </w:r>
      <w:proofErr w:type="gramEnd"/>
      <w:r w:rsidR="004C1362" w:rsidRPr="004C1362">
        <w:rPr>
          <w:lang w:val="en-GB"/>
        </w:rPr>
        <w:t xml:space="preserve"> for</w:t>
      </w:r>
      <w:r w:rsidR="004C1362">
        <w:rPr>
          <w:lang w:val="en-GB"/>
        </w:rPr>
        <w:t xml:space="preserve"> example: </w:t>
      </w:r>
      <w:hyperlink r:id="rId19" w:history="1">
        <w:r w:rsidR="004C1362" w:rsidRPr="004C1362">
          <w:rPr>
            <w:rStyle w:val="Hyperlink"/>
            <w:lang w:val="en-GB"/>
          </w:rPr>
          <w:t>http://www.greenpeace.org/raw/content/eu-unit/press-centre/policy-papers-briefings/battle-of-the-grids.pdf</w:t>
        </w:r>
      </w:hyperlink>
      <w:r w:rsidR="004C1362" w:rsidRPr="004C1362">
        <w:rPr>
          <w:lang w:val="en-GB"/>
        </w:rPr>
        <w:t>, page 24</w:t>
      </w:r>
      <w:r w:rsidR="00D572CE" w:rsidRPr="004C1362">
        <w:rPr>
          <w:lang w:val="en-GB"/>
        </w:rPr>
        <w:t>)</w:t>
      </w:r>
      <w:r w:rsidR="004363DA" w:rsidRPr="004C1362">
        <w:rPr>
          <w:lang w:val="en-GB"/>
        </w:rPr>
        <w:t>.</w:t>
      </w:r>
      <w:r w:rsidR="004363DA">
        <w:rPr>
          <w:lang w:val="en-GB"/>
        </w:rPr>
        <w:t xml:space="preserve"> </w:t>
      </w:r>
    </w:p>
    <w:p w:rsidR="00AA4951" w:rsidRDefault="00D572CE" w:rsidP="005E21D1">
      <w:pPr>
        <w:rPr>
          <w:lang w:val="en-GB"/>
        </w:rPr>
      </w:pPr>
      <w:r>
        <w:rPr>
          <w:lang w:val="en-GB"/>
        </w:rPr>
        <w:t>A</w:t>
      </w:r>
      <w:r w:rsidR="007B1660">
        <w:rPr>
          <w:lang w:val="en-GB"/>
        </w:rPr>
        <w:t xml:space="preserve"> </w:t>
      </w:r>
      <w:r>
        <w:rPr>
          <w:lang w:val="en-GB"/>
        </w:rPr>
        <w:t>100% renewable energy pathway</w:t>
      </w:r>
      <w:r w:rsidR="00ED0F99">
        <w:rPr>
          <w:lang w:val="en-GB"/>
        </w:rPr>
        <w:t xml:space="preserve"> has been recognised as </w:t>
      </w:r>
      <w:r>
        <w:rPr>
          <w:lang w:val="en-GB"/>
        </w:rPr>
        <w:t>feasible</w:t>
      </w:r>
      <w:r w:rsidR="00ED0F99">
        <w:rPr>
          <w:lang w:val="en-GB"/>
        </w:rPr>
        <w:t xml:space="preserve"> and realistic</w:t>
      </w:r>
      <w:r w:rsidR="00AA4951">
        <w:rPr>
          <w:lang w:val="en-GB"/>
        </w:rPr>
        <w:t xml:space="preserve"> by a number of stud</w:t>
      </w:r>
      <w:r w:rsidR="00ED0F99">
        <w:rPr>
          <w:lang w:val="en-GB"/>
        </w:rPr>
        <w:t>ies</w:t>
      </w:r>
      <w:r w:rsidR="00AA4951">
        <w:rPr>
          <w:lang w:val="en-GB"/>
        </w:rPr>
        <w:t xml:space="preserve"> for the EU level and for indi</w:t>
      </w:r>
      <w:r w:rsidR="0037177C">
        <w:rPr>
          <w:lang w:val="en-GB"/>
        </w:rPr>
        <w:t>vidual EU member states</w:t>
      </w:r>
      <w:r w:rsidR="001F1B5A">
        <w:rPr>
          <w:lang w:val="en-GB"/>
        </w:rPr>
        <w:t>, e.g.</w:t>
      </w:r>
      <w:r w:rsidR="00AA4951">
        <w:rPr>
          <w:lang w:val="en-GB"/>
        </w:rPr>
        <w:t xml:space="preserve"> a</w:t>
      </w:r>
      <w:r w:rsidR="006D3DC2">
        <w:rPr>
          <w:lang w:val="en-GB"/>
        </w:rPr>
        <w:t xml:space="preserve">n </w:t>
      </w:r>
      <w:hyperlink r:id="rId20" w:history="1">
        <w:r w:rsidR="006D3DC2" w:rsidRPr="00085F22">
          <w:rPr>
            <w:rStyle w:val="Hyperlink"/>
            <w:lang w:val="en-GB"/>
          </w:rPr>
          <w:t xml:space="preserve">analysis </w:t>
        </w:r>
        <w:r w:rsidR="00AA4951" w:rsidRPr="00085F22">
          <w:rPr>
            <w:rStyle w:val="Hyperlink"/>
            <w:lang w:val="en-GB"/>
          </w:rPr>
          <w:t>by the German government’s advisory Council on the Environment</w:t>
        </w:r>
      </w:hyperlink>
      <w:r w:rsidRPr="00A832FC">
        <w:rPr>
          <w:lang w:val="en-GB"/>
        </w:rPr>
        <w:t>,</w:t>
      </w:r>
      <w:r w:rsidR="006D3DC2" w:rsidRPr="006D3DC2">
        <w:rPr>
          <w:lang w:val="en-GB"/>
        </w:rPr>
        <w:t xml:space="preserve"> </w:t>
      </w:r>
      <w:r w:rsidR="00ED0F99">
        <w:rPr>
          <w:lang w:val="en-GB"/>
        </w:rPr>
        <w:t xml:space="preserve">a </w:t>
      </w:r>
      <w:hyperlink r:id="rId21" w:history="1">
        <w:r w:rsidR="00ED0F99" w:rsidRPr="00085F22">
          <w:rPr>
            <w:rStyle w:val="Hyperlink"/>
            <w:lang w:val="en-GB"/>
          </w:rPr>
          <w:t>study</w:t>
        </w:r>
        <w:r w:rsidR="006D3DC2" w:rsidRPr="00085F22">
          <w:rPr>
            <w:rStyle w:val="Hyperlink"/>
            <w:lang w:val="en-GB"/>
          </w:rPr>
          <w:t xml:space="preserve"> for the Austrian government</w:t>
        </w:r>
      </w:hyperlink>
      <w:r w:rsidR="00085F22">
        <w:rPr>
          <w:lang w:val="en-GB"/>
        </w:rPr>
        <w:t xml:space="preserve">, and a </w:t>
      </w:r>
      <w:hyperlink r:id="rId22" w:history="1">
        <w:r w:rsidR="00085F22" w:rsidRPr="00085F22">
          <w:rPr>
            <w:rStyle w:val="Hyperlink"/>
            <w:lang w:val="en-GB"/>
          </w:rPr>
          <w:t>report by the Dan</w:t>
        </w:r>
        <w:r w:rsidR="00AA4951" w:rsidRPr="00085F22">
          <w:rPr>
            <w:rStyle w:val="Hyperlink"/>
            <w:lang w:val="en-GB"/>
          </w:rPr>
          <w:t>ish government’s Climate Commission</w:t>
        </w:r>
      </w:hyperlink>
      <w:r w:rsidR="00ED0F99">
        <w:rPr>
          <w:lang w:val="en-GB"/>
        </w:rPr>
        <w:t xml:space="preserve">. </w:t>
      </w:r>
    </w:p>
    <w:p w:rsidR="007B1660" w:rsidRDefault="00D572CE" w:rsidP="0059319E">
      <w:pPr>
        <w:rPr>
          <w:lang w:val="en-GB"/>
        </w:rPr>
      </w:pPr>
      <w:r w:rsidRPr="000F08E1">
        <w:rPr>
          <w:lang w:val="en-GB"/>
        </w:rPr>
        <w:t>A growing number of companies and decision</w:t>
      </w:r>
      <w:r w:rsidR="00085F22">
        <w:rPr>
          <w:lang w:val="en-GB"/>
        </w:rPr>
        <w:t>-</w:t>
      </w:r>
      <w:r w:rsidRPr="000F08E1">
        <w:rPr>
          <w:lang w:val="en-GB"/>
        </w:rPr>
        <w:t>makers</w:t>
      </w:r>
      <w:r w:rsidR="00F91824" w:rsidRPr="000F08E1">
        <w:rPr>
          <w:lang w:val="en-GB"/>
        </w:rPr>
        <w:t xml:space="preserve"> are supporting this pathway</w:t>
      </w:r>
      <w:r w:rsidR="000F08E1" w:rsidRPr="000F08E1">
        <w:rPr>
          <w:lang w:val="en-GB"/>
        </w:rPr>
        <w:t xml:space="preserve"> (www.100percentre</w:t>
      </w:r>
      <w:r w:rsidR="000F08E1">
        <w:rPr>
          <w:lang w:val="en-GB"/>
        </w:rPr>
        <w:t>newables.eu)</w:t>
      </w:r>
      <w:r w:rsidR="00F91824">
        <w:rPr>
          <w:lang w:val="en-GB"/>
        </w:rPr>
        <w:t xml:space="preserve">. </w:t>
      </w:r>
      <w:bookmarkStart w:id="0" w:name="_GoBack"/>
      <w:bookmarkEnd w:id="0"/>
    </w:p>
    <w:sectPr w:rsidR="007B1660" w:rsidSect="0008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51B4"/>
    <w:multiLevelType w:val="hybridMultilevel"/>
    <w:tmpl w:val="6AACB71C"/>
    <w:lvl w:ilvl="0" w:tplc="D068D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D7524E"/>
    <w:rsid w:val="00010348"/>
    <w:rsid w:val="00050921"/>
    <w:rsid w:val="000658A2"/>
    <w:rsid w:val="000823E7"/>
    <w:rsid w:val="00085F22"/>
    <w:rsid w:val="000F08E1"/>
    <w:rsid w:val="000F4B37"/>
    <w:rsid w:val="00130323"/>
    <w:rsid w:val="001F1B5A"/>
    <w:rsid w:val="002C6B9E"/>
    <w:rsid w:val="002E6162"/>
    <w:rsid w:val="002F4DBE"/>
    <w:rsid w:val="00331D82"/>
    <w:rsid w:val="00354F23"/>
    <w:rsid w:val="0037177C"/>
    <w:rsid w:val="00420431"/>
    <w:rsid w:val="004362E5"/>
    <w:rsid w:val="004363DA"/>
    <w:rsid w:val="00471D95"/>
    <w:rsid w:val="0048185A"/>
    <w:rsid w:val="0049102A"/>
    <w:rsid w:val="004C1362"/>
    <w:rsid w:val="004C6D4B"/>
    <w:rsid w:val="00520277"/>
    <w:rsid w:val="0059319E"/>
    <w:rsid w:val="005E21D1"/>
    <w:rsid w:val="006B3B6F"/>
    <w:rsid w:val="006D3DC2"/>
    <w:rsid w:val="006E197D"/>
    <w:rsid w:val="00725A0A"/>
    <w:rsid w:val="007276A5"/>
    <w:rsid w:val="00767022"/>
    <w:rsid w:val="007B1660"/>
    <w:rsid w:val="007B2B77"/>
    <w:rsid w:val="008F02A2"/>
    <w:rsid w:val="00934150"/>
    <w:rsid w:val="009344AA"/>
    <w:rsid w:val="009640F3"/>
    <w:rsid w:val="009B14C2"/>
    <w:rsid w:val="009D0775"/>
    <w:rsid w:val="00A15E4C"/>
    <w:rsid w:val="00A31268"/>
    <w:rsid w:val="00A818C3"/>
    <w:rsid w:val="00A832FC"/>
    <w:rsid w:val="00AA4951"/>
    <w:rsid w:val="00B560A9"/>
    <w:rsid w:val="00B675A6"/>
    <w:rsid w:val="00B75F15"/>
    <w:rsid w:val="00BB012A"/>
    <w:rsid w:val="00BF02F5"/>
    <w:rsid w:val="00C04003"/>
    <w:rsid w:val="00CC7258"/>
    <w:rsid w:val="00D05C7A"/>
    <w:rsid w:val="00D06F34"/>
    <w:rsid w:val="00D3557D"/>
    <w:rsid w:val="00D51CA6"/>
    <w:rsid w:val="00D572CE"/>
    <w:rsid w:val="00D7524E"/>
    <w:rsid w:val="00DB523A"/>
    <w:rsid w:val="00E60AC3"/>
    <w:rsid w:val="00ED0F99"/>
    <w:rsid w:val="00F33916"/>
    <w:rsid w:val="00F86A5F"/>
    <w:rsid w:val="00F91824"/>
    <w:rsid w:val="00FE57B8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E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F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E2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0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1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20" Type="http://schemas.openxmlformats.org/officeDocument/2006/relationships/hyperlink" Target="http://www.umweltrat.de/cln_137/DE/DerSachverstaendigenratFuerUmweltfragen/dersachverstaendigenratfuerumweltfragen_node.html" TargetMode="External"/><Relationship Id="rId21" Type="http://schemas.openxmlformats.org/officeDocument/2006/relationships/hyperlink" Target="http://umwelt.lebensministerium.at/filemanager/download/70489/" TargetMode="External"/><Relationship Id="rId22" Type="http://schemas.openxmlformats.org/officeDocument/2006/relationships/hyperlink" Target="http://www.klimakommissionen.dk/en-US/AbouttheCommission/TheDanishClimateCommissionreport/Documents/green%20energy%20GB%20screen%201page%20v2.pdf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07/relationships/stylesWithEffects" Target="stylesWithEffects.xml"/><Relationship Id="rId10" Type="http://schemas.openxmlformats.org/officeDocument/2006/relationships/image" Target="media/image5.emf"/><Relationship Id="rId11" Type="http://schemas.openxmlformats.org/officeDocument/2006/relationships/image" Target="media/image6.emf"/><Relationship Id="rId12" Type="http://schemas.openxmlformats.org/officeDocument/2006/relationships/hyperlink" Target="http://www.greenpeace.org/raw/content/eu-unit/press-centre/reports/EU-Energy-(R)-evolution-scenario.pdf" TargetMode="External"/><Relationship Id="rId13" Type="http://schemas.openxmlformats.org/officeDocument/2006/relationships/hyperlink" Target="http://wwf.panda.org/what_we_do/footprint/climate_carbon_energy/energy_solutions/renewable_energy/sustainable_energy_report/" TargetMode="External"/><Relationship Id="rId14" Type="http://schemas.openxmlformats.org/officeDocument/2006/relationships/hyperlink" Target="http://www.caneurope.org" TargetMode="External"/><Relationship Id="rId15" Type="http://schemas.openxmlformats.org/officeDocument/2006/relationships/image" Target="media/image7.emf"/><Relationship Id="rId16" Type="http://schemas.openxmlformats.org/officeDocument/2006/relationships/image" Target="media/image8.emf"/><Relationship Id="rId17" Type="http://schemas.openxmlformats.org/officeDocument/2006/relationships/hyperlink" Target="http://roadmap2050.eu/attachments/files/1EnergySavings2020-FullReport.pdf" TargetMode="External"/><Relationship Id="rId18" Type="http://schemas.openxmlformats.org/officeDocument/2006/relationships/hyperlink" Target="http://www.greenpeace.org/raw/content/eu-unit/press-centre/reports/EU-Energy-(R)-evolution-scenario.pdf" TargetMode="External"/><Relationship Id="rId19" Type="http://schemas.openxmlformats.org/officeDocument/2006/relationships/hyperlink" Target="http://www.greenpeace.org/raw/content/eu-unit/press-centre/policy-papers-briefings/battle-of-the-grids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92B8-2211-5445-8AFF-F6061491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872</Words>
  <Characters>4975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</dc:creator>
  <cp:keywords/>
  <dc:description/>
  <cp:lastModifiedBy>Vanessa</cp:lastModifiedBy>
  <cp:revision>6</cp:revision>
  <dcterms:created xsi:type="dcterms:W3CDTF">2011-03-03T13:24:00Z</dcterms:created>
  <dcterms:modified xsi:type="dcterms:W3CDTF">2011-03-04T11:06:00Z</dcterms:modified>
</cp:coreProperties>
</file>