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65B01" w14:textId="11ED22FA" w:rsidR="005B1E7E" w:rsidRDefault="00E018F5" w:rsidP="00905BC1">
      <w:pPr>
        <w:pBdr>
          <w:bottom w:val="single" w:sz="6" w:space="2" w:color="212F6B"/>
        </w:pBdr>
        <w:jc w:val="center"/>
        <w:rPr>
          <w:rFonts w:asciiTheme="majorHAnsi" w:hAnsiTheme="majorHAnsi"/>
          <w:b/>
          <w:color w:val="212F6B"/>
          <w:sz w:val="32"/>
          <w:szCs w:val="32"/>
        </w:rPr>
      </w:pPr>
      <w:bookmarkStart w:id="0" w:name="_GoBack"/>
      <w:bookmarkEnd w:id="0"/>
      <w:r w:rsidRPr="00FE2697">
        <w:rPr>
          <w:rFonts w:asciiTheme="majorHAnsi" w:hAnsiTheme="majorHAnsi"/>
          <w:b/>
          <w:color w:val="212F6B"/>
          <w:sz w:val="32"/>
          <w:szCs w:val="32"/>
        </w:rPr>
        <w:t xml:space="preserve">CAN EUROPE’S </w:t>
      </w:r>
      <w:r w:rsidR="00346690">
        <w:rPr>
          <w:rFonts w:asciiTheme="majorHAnsi" w:hAnsiTheme="majorHAnsi"/>
          <w:b/>
          <w:color w:val="212F6B"/>
          <w:sz w:val="32"/>
          <w:szCs w:val="32"/>
        </w:rPr>
        <w:t>response to the EIB consultation on their Energy lending Policy</w:t>
      </w:r>
      <w:r w:rsidR="005B1E7E">
        <w:rPr>
          <w:rFonts w:asciiTheme="majorHAnsi" w:hAnsiTheme="majorHAnsi"/>
          <w:b/>
          <w:color w:val="212F6B"/>
          <w:sz w:val="32"/>
          <w:szCs w:val="32"/>
        </w:rPr>
        <w:t xml:space="preserve"> </w:t>
      </w:r>
      <w:r w:rsidRPr="00FE2697">
        <w:rPr>
          <w:rFonts w:asciiTheme="majorHAnsi" w:hAnsiTheme="majorHAnsi"/>
          <w:b/>
          <w:color w:val="212F6B"/>
          <w:sz w:val="32"/>
          <w:szCs w:val="32"/>
        </w:rPr>
        <w:t xml:space="preserve"> </w:t>
      </w:r>
    </w:p>
    <w:p w14:paraId="4A023CC7" w14:textId="5813FD66" w:rsidR="00905BC1" w:rsidRPr="00905BC1" w:rsidRDefault="00905BC1" w:rsidP="00905BC1">
      <w:pPr>
        <w:pBdr>
          <w:bottom w:val="single" w:sz="6" w:space="2" w:color="212F6B"/>
        </w:pBdr>
        <w:jc w:val="center"/>
        <w:rPr>
          <w:rFonts w:asciiTheme="majorHAnsi" w:hAnsiTheme="majorHAnsi"/>
          <w:b/>
          <w:color w:val="212F6B"/>
          <w:sz w:val="32"/>
          <w:szCs w:val="32"/>
          <w:lang w:val="en-GB"/>
        </w:rPr>
      </w:pPr>
    </w:p>
    <w:p w14:paraId="643CD35A" w14:textId="05518454" w:rsidR="00E018F5" w:rsidRDefault="00E018F5" w:rsidP="00905BC1">
      <w:pPr>
        <w:pBdr>
          <w:bottom w:val="single" w:sz="6" w:space="2" w:color="212F6B"/>
        </w:pBdr>
        <w:jc w:val="center"/>
        <w:rPr>
          <w:rFonts w:asciiTheme="majorHAnsi" w:hAnsiTheme="majorHAnsi"/>
          <w:b/>
          <w:color w:val="212F6B"/>
          <w:sz w:val="32"/>
          <w:szCs w:val="32"/>
        </w:rPr>
      </w:pPr>
    </w:p>
    <w:p w14:paraId="0C850B53" w14:textId="77777777" w:rsidR="00E018F5" w:rsidRPr="00FE2697" w:rsidRDefault="00E018F5" w:rsidP="00905BC1">
      <w:pPr>
        <w:pBdr>
          <w:bottom w:val="single" w:sz="6" w:space="2" w:color="212F6B"/>
        </w:pBdr>
        <w:jc w:val="center"/>
        <w:rPr>
          <w:rFonts w:asciiTheme="majorHAnsi" w:hAnsiTheme="majorHAnsi"/>
          <w:b/>
          <w:color w:val="212F6B"/>
          <w:sz w:val="32"/>
          <w:szCs w:val="32"/>
        </w:rPr>
      </w:pPr>
    </w:p>
    <w:p w14:paraId="67102AA5" w14:textId="1A6ACEE8" w:rsidR="00E018F5" w:rsidRPr="00FE2697" w:rsidRDefault="00E018F5" w:rsidP="00E018F5">
      <w:pPr>
        <w:jc w:val="right"/>
        <w:rPr>
          <w:rFonts w:asciiTheme="majorHAnsi" w:hAnsiTheme="majorHAnsi"/>
          <w:color w:val="2D3F90"/>
          <w:sz w:val="18"/>
          <w:szCs w:val="18"/>
        </w:rPr>
      </w:pPr>
      <w:r w:rsidRPr="00CD5F76">
        <w:rPr>
          <w:rFonts w:asciiTheme="majorHAnsi" w:hAnsiTheme="majorHAnsi"/>
          <w:sz w:val="22"/>
          <w:szCs w:val="22"/>
        </w:rPr>
        <w:br/>
      </w:r>
      <w:r w:rsidR="00346690">
        <w:rPr>
          <w:rFonts w:asciiTheme="majorHAnsi" w:hAnsiTheme="majorHAnsi"/>
          <w:color w:val="2D3F90"/>
          <w:sz w:val="18"/>
          <w:szCs w:val="18"/>
        </w:rPr>
        <w:t>December</w:t>
      </w:r>
      <w:r w:rsidRPr="00905BC1">
        <w:rPr>
          <w:rFonts w:asciiTheme="majorHAnsi" w:hAnsiTheme="majorHAnsi"/>
          <w:color w:val="2D3F90"/>
          <w:sz w:val="18"/>
          <w:szCs w:val="18"/>
        </w:rPr>
        <w:t xml:space="preserve"> 2012</w:t>
      </w:r>
    </w:p>
    <w:p w14:paraId="38D0E233" w14:textId="1C384140" w:rsidR="00346690" w:rsidRPr="00346690" w:rsidRDefault="00E018F5" w:rsidP="00346690">
      <w:pPr>
        <w:rPr>
          <w:rFonts w:asciiTheme="majorHAnsi" w:hAnsiTheme="majorHAnsi"/>
          <w:b/>
          <w:color w:val="2D3F90"/>
          <w:sz w:val="28"/>
          <w:szCs w:val="22"/>
          <w:lang w:val="en-GB"/>
        </w:rPr>
      </w:pPr>
      <w:r w:rsidRPr="00CD5F76">
        <w:rPr>
          <w:rFonts w:asciiTheme="majorHAnsi" w:hAnsiTheme="majorHAnsi"/>
          <w:b/>
          <w:sz w:val="22"/>
          <w:szCs w:val="22"/>
        </w:rPr>
        <w:br/>
      </w:r>
      <w:r w:rsidR="00346690" w:rsidRPr="00346690">
        <w:rPr>
          <w:rFonts w:asciiTheme="majorHAnsi" w:hAnsiTheme="majorHAnsi"/>
          <w:b/>
          <w:color w:val="2D3F90"/>
          <w:sz w:val="28"/>
          <w:szCs w:val="22"/>
          <w:lang w:val="en-GB"/>
        </w:rPr>
        <w:t>4.1 General energy and economic context</w:t>
      </w:r>
    </w:p>
    <w:p w14:paraId="4DBE7CF1" w14:textId="77777777" w:rsidR="00346690" w:rsidRDefault="00346690" w:rsidP="00346690">
      <w:pPr>
        <w:jc w:val="both"/>
        <w:rPr>
          <w:rFonts w:asciiTheme="majorHAnsi" w:hAnsiTheme="majorHAnsi"/>
          <w:b/>
          <w:color w:val="2D3F90"/>
          <w:sz w:val="22"/>
          <w:szCs w:val="22"/>
          <w:lang w:val="en-GB"/>
        </w:rPr>
      </w:pPr>
    </w:p>
    <w:p w14:paraId="4082966B" w14:textId="77777777" w:rsidR="00346690" w:rsidRPr="00346690" w:rsidRDefault="00346690" w:rsidP="00346690">
      <w:pPr>
        <w:jc w:val="both"/>
        <w:rPr>
          <w:rFonts w:asciiTheme="majorHAnsi" w:hAnsiTheme="majorHAnsi"/>
          <w:b/>
          <w:color w:val="2D3F90"/>
          <w:sz w:val="22"/>
          <w:szCs w:val="22"/>
          <w:lang w:val="en-GB"/>
        </w:rPr>
      </w:pPr>
      <w:r w:rsidRPr="00346690">
        <w:rPr>
          <w:rFonts w:asciiTheme="majorHAnsi" w:hAnsiTheme="majorHAnsi"/>
          <w:b/>
          <w:color w:val="2D3F90"/>
          <w:sz w:val="22"/>
          <w:szCs w:val="22"/>
          <w:lang w:val="en-GB"/>
        </w:rPr>
        <w:t xml:space="preserve">Particularly in the current economic climate, is there a trade-off between promoting a competitive and secure energy supply and </w:t>
      </w:r>
      <w:proofErr w:type="gramStart"/>
      <w:r w:rsidRPr="00346690">
        <w:rPr>
          <w:rFonts w:asciiTheme="majorHAnsi" w:hAnsiTheme="majorHAnsi"/>
          <w:b/>
          <w:color w:val="2D3F90"/>
          <w:sz w:val="22"/>
          <w:szCs w:val="22"/>
          <w:lang w:val="en-GB"/>
        </w:rPr>
        <w:t>one which</w:t>
      </w:r>
      <w:proofErr w:type="gramEnd"/>
      <w:r w:rsidRPr="00346690">
        <w:rPr>
          <w:rFonts w:asciiTheme="majorHAnsi" w:hAnsiTheme="majorHAnsi"/>
          <w:b/>
          <w:color w:val="2D3F90"/>
          <w:sz w:val="22"/>
          <w:szCs w:val="22"/>
          <w:lang w:val="en-GB"/>
        </w:rPr>
        <w:t xml:space="preserve"> is environmentally sustainable? </w:t>
      </w:r>
    </w:p>
    <w:p w14:paraId="6CD1632E" w14:textId="77777777" w:rsidR="00346690" w:rsidRPr="00346690" w:rsidRDefault="00346690" w:rsidP="00346690">
      <w:pPr>
        <w:jc w:val="both"/>
        <w:rPr>
          <w:rFonts w:asciiTheme="majorHAnsi" w:hAnsiTheme="majorHAnsi"/>
          <w:b/>
          <w:color w:val="2D3F90"/>
          <w:sz w:val="22"/>
          <w:szCs w:val="22"/>
          <w:lang w:val="en-GB"/>
        </w:rPr>
      </w:pPr>
      <w:r w:rsidRPr="00346690">
        <w:rPr>
          <w:rFonts w:asciiTheme="majorHAnsi" w:hAnsiTheme="majorHAnsi"/>
          <w:b/>
          <w:color w:val="2D3F90"/>
          <w:sz w:val="22"/>
          <w:szCs w:val="22"/>
          <w:lang w:val="en-GB"/>
        </w:rPr>
        <w:t>Where should the balance lie and what implications does this have for energy sector investments?</w:t>
      </w:r>
    </w:p>
    <w:p w14:paraId="37D6D386" w14:textId="77777777" w:rsidR="00346690" w:rsidRPr="00346690" w:rsidRDefault="00346690" w:rsidP="00346690">
      <w:pPr>
        <w:jc w:val="both"/>
        <w:rPr>
          <w:rFonts w:asciiTheme="majorHAnsi" w:hAnsiTheme="majorHAnsi"/>
          <w:b/>
          <w:color w:val="2D3F90"/>
          <w:sz w:val="22"/>
          <w:szCs w:val="22"/>
          <w:lang w:val="en-GB"/>
        </w:rPr>
      </w:pPr>
    </w:p>
    <w:p w14:paraId="477D803D" w14:textId="77777777" w:rsidR="00346690" w:rsidRPr="00346690" w:rsidRDefault="00346690" w:rsidP="00346690">
      <w:pPr>
        <w:jc w:val="both"/>
        <w:rPr>
          <w:rFonts w:asciiTheme="majorHAnsi" w:hAnsiTheme="majorHAnsi"/>
          <w:sz w:val="22"/>
          <w:szCs w:val="22"/>
          <w:lang w:val="en-GB"/>
        </w:rPr>
      </w:pPr>
      <w:r w:rsidRPr="00346690">
        <w:rPr>
          <w:rFonts w:asciiTheme="majorHAnsi" w:hAnsiTheme="majorHAnsi"/>
          <w:sz w:val="22"/>
          <w:szCs w:val="22"/>
          <w:lang w:val="en-GB"/>
        </w:rPr>
        <w:t xml:space="preserve">At present the EIB claims to support all three pillars of EU energy policy. However in justifying its financing operations it can be quite selective about which arguments, and which pillars it uses. For example, for a gas combined heat and power generation plant the EIB will tend to refer to efficiency and sustainability. Yet its justifications for investments in coal power plants is based only on security of supply considerations – ignoring the fact that such projects are in direct contradiction to one of the other pillars (sustainability). </w:t>
      </w:r>
    </w:p>
    <w:p w14:paraId="34AD85B8" w14:textId="77777777" w:rsidR="00346690" w:rsidRPr="00346690" w:rsidRDefault="00346690" w:rsidP="00346690">
      <w:pPr>
        <w:jc w:val="both"/>
        <w:rPr>
          <w:rFonts w:asciiTheme="majorHAnsi" w:hAnsiTheme="majorHAnsi"/>
          <w:sz w:val="22"/>
          <w:szCs w:val="22"/>
          <w:lang w:val="en-GB"/>
        </w:rPr>
      </w:pPr>
    </w:p>
    <w:p w14:paraId="7FEFAA59" w14:textId="77777777" w:rsidR="00346690" w:rsidRPr="00346690" w:rsidRDefault="00346690" w:rsidP="00346690">
      <w:pPr>
        <w:jc w:val="both"/>
        <w:rPr>
          <w:rFonts w:asciiTheme="majorHAnsi" w:hAnsiTheme="majorHAnsi"/>
          <w:sz w:val="22"/>
          <w:szCs w:val="22"/>
          <w:lang w:val="en-GB"/>
        </w:rPr>
      </w:pPr>
      <w:r w:rsidRPr="00346690">
        <w:rPr>
          <w:rFonts w:asciiTheme="majorHAnsi" w:hAnsiTheme="majorHAnsi"/>
          <w:sz w:val="22"/>
          <w:szCs w:val="22"/>
          <w:lang w:val="en-GB"/>
        </w:rPr>
        <w:t>Achieving one objective cannot take place at the clear expense of another. And the EIB does not have to contribute to a trade-off between security of supply and competitiveness on the one hand, and sustainability on the other. Instead it should seek to invest in projects which simultaneously address all three pillars, which in practice means investing in projects in energy efficiency and renewable energy: projects which reduce EU dependency on imported hydrocarbons, reduce greenhouse gas emissions and offer a range of other environmental benefits if properly designed, and are fully cost competitive (especially when factoring in social and environmental externalities). The</w:t>
      </w:r>
      <w:r w:rsidRPr="00346690">
        <w:rPr>
          <w:rFonts w:asciiTheme="majorHAnsi" w:hAnsiTheme="majorHAnsi"/>
          <w:sz w:val="22"/>
          <w:szCs w:val="22"/>
        </w:rPr>
        <w:t xml:space="preserve"> Bank’s mandate should be better clarified and focused to make the bank a lead institution to promote the </w:t>
      </w:r>
      <w:proofErr w:type="spellStart"/>
      <w:r w:rsidRPr="00346690">
        <w:rPr>
          <w:rFonts w:asciiTheme="majorHAnsi" w:hAnsiTheme="majorHAnsi"/>
          <w:sz w:val="22"/>
          <w:szCs w:val="22"/>
        </w:rPr>
        <w:t>decarbonisation</w:t>
      </w:r>
      <w:proofErr w:type="spellEnd"/>
      <w:r w:rsidRPr="00346690">
        <w:rPr>
          <w:rFonts w:asciiTheme="majorHAnsi" w:hAnsiTheme="majorHAnsi"/>
          <w:sz w:val="22"/>
          <w:szCs w:val="22"/>
        </w:rPr>
        <w:t xml:space="preserve"> of the energy sector and of our societies in general. </w:t>
      </w:r>
    </w:p>
    <w:p w14:paraId="2867159D" w14:textId="77777777" w:rsidR="00346690" w:rsidRPr="00346690" w:rsidRDefault="00346690" w:rsidP="00346690">
      <w:pPr>
        <w:jc w:val="both"/>
        <w:rPr>
          <w:rFonts w:asciiTheme="majorHAnsi" w:hAnsiTheme="majorHAnsi"/>
          <w:sz w:val="22"/>
          <w:szCs w:val="22"/>
        </w:rPr>
      </w:pPr>
    </w:p>
    <w:p w14:paraId="15B4F67D" w14:textId="77777777" w:rsidR="00346690" w:rsidRPr="00346690" w:rsidRDefault="00346690" w:rsidP="00346690">
      <w:pPr>
        <w:jc w:val="both"/>
        <w:rPr>
          <w:rFonts w:asciiTheme="majorHAnsi" w:hAnsiTheme="majorHAnsi"/>
          <w:sz w:val="22"/>
          <w:szCs w:val="22"/>
        </w:rPr>
      </w:pPr>
      <w:r w:rsidRPr="00346690">
        <w:rPr>
          <w:rFonts w:asciiTheme="majorHAnsi" w:hAnsiTheme="majorHAnsi"/>
          <w:sz w:val="22"/>
          <w:szCs w:val="22"/>
        </w:rPr>
        <w:t xml:space="preserve">The development of renewable energy technologies and the potential for energy and resource savings presents enormous investment potentials, coupled with the possibility of creating millions of jobs across Europe. This aspect is particularly strong with demand side energy efficiency. The construction sector is a sector with high </w:t>
      </w:r>
      <w:proofErr w:type="spellStart"/>
      <w:r w:rsidRPr="00346690">
        <w:rPr>
          <w:rFonts w:asciiTheme="majorHAnsi" w:hAnsiTheme="majorHAnsi"/>
          <w:sz w:val="22"/>
          <w:szCs w:val="22"/>
        </w:rPr>
        <w:t>labour</w:t>
      </w:r>
      <w:proofErr w:type="spellEnd"/>
      <w:r w:rsidRPr="00346690">
        <w:rPr>
          <w:rFonts w:asciiTheme="majorHAnsi" w:hAnsiTheme="majorHAnsi"/>
          <w:sz w:val="22"/>
          <w:szCs w:val="22"/>
        </w:rPr>
        <w:t xml:space="preserve"> intensity and any created jobs cannot be outsourced to other countries, unlike manufacturing jobs for example. Within the construction sector, efficiency measures in buildings are champions in terms of job creation: investing in deep renovations offers more than twice the job creation potential per Euro invested than the standard rate in the construction sector. Meanwhile HSBC has estimated that if the EU invests sufficiently in energy efficiency to meet its 2020 target, then it could attain a 28% share in a global market for energy efficiency technologies and services worth been $897 billion and $1.4 trillion. </w:t>
      </w:r>
      <w:proofErr w:type="spellStart"/>
      <w:r w:rsidRPr="00346690">
        <w:rPr>
          <w:rFonts w:asciiTheme="majorHAnsi" w:hAnsiTheme="majorHAnsi"/>
          <w:sz w:val="22"/>
          <w:szCs w:val="22"/>
        </w:rPr>
        <w:t>Ecofys</w:t>
      </w:r>
      <w:proofErr w:type="spellEnd"/>
      <w:r w:rsidRPr="00346690">
        <w:rPr>
          <w:rFonts w:asciiTheme="majorHAnsi" w:hAnsiTheme="majorHAnsi"/>
          <w:sz w:val="22"/>
          <w:szCs w:val="22"/>
        </w:rPr>
        <w:t xml:space="preserve"> and </w:t>
      </w:r>
      <w:proofErr w:type="spellStart"/>
      <w:r w:rsidRPr="00346690">
        <w:rPr>
          <w:rFonts w:asciiTheme="majorHAnsi" w:hAnsiTheme="majorHAnsi"/>
          <w:sz w:val="22"/>
          <w:szCs w:val="22"/>
        </w:rPr>
        <w:t>Fraunhofer</w:t>
      </w:r>
      <w:proofErr w:type="spellEnd"/>
      <w:r w:rsidRPr="00346690">
        <w:rPr>
          <w:rFonts w:asciiTheme="majorHAnsi" w:hAnsiTheme="majorHAnsi"/>
          <w:sz w:val="22"/>
          <w:szCs w:val="22"/>
        </w:rPr>
        <w:t xml:space="preserve"> estimate that meeting the 20% target could reverse the upward trend in the EU’s energy import dependency, taking it back down to 1990 levels by 2020. </w:t>
      </w:r>
    </w:p>
    <w:p w14:paraId="5A60D3B4" w14:textId="77777777" w:rsidR="00346690" w:rsidRPr="00346690" w:rsidRDefault="00346690" w:rsidP="00346690">
      <w:pPr>
        <w:jc w:val="both"/>
        <w:rPr>
          <w:rFonts w:asciiTheme="majorHAnsi" w:hAnsiTheme="majorHAnsi"/>
          <w:sz w:val="22"/>
          <w:szCs w:val="22"/>
        </w:rPr>
      </w:pPr>
    </w:p>
    <w:p w14:paraId="4FA6865E" w14:textId="77777777" w:rsidR="00346690" w:rsidRPr="00346690" w:rsidRDefault="00346690" w:rsidP="00346690">
      <w:pPr>
        <w:jc w:val="both"/>
        <w:rPr>
          <w:rFonts w:asciiTheme="majorHAnsi" w:hAnsiTheme="majorHAnsi"/>
          <w:sz w:val="22"/>
          <w:szCs w:val="22"/>
        </w:rPr>
      </w:pPr>
      <w:r w:rsidRPr="00346690">
        <w:rPr>
          <w:rFonts w:asciiTheme="majorHAnsi" w:hAnsiTheme="majorHAnsi"/>
          <w:sz w:val="22"/>
          <w:szCs w:val="22"/>
        </w:rPr>
        <w:lastRenderedPageBreak/>
        <w:t xml:space="preserve">The most recent World Energy Outlook by the International Energy Agency recognizes the fact that policy makers looking for simultaneous progress towards energy security, economic and environmental objectives are facing increasingly complex – and sometimes contradictory – choices. It admits that energy efficiency is key here, but points out that even with the existing policies in place like the EU’s 2020 objectives, a significant share of the potential to improve energy efficiency still remains untapped. </w:t>
      </w:r>
    </w:p>
    <w:p w14:paraId="427DA628" w14:textId="77777777" w:rsidR="00346690" w:rsidRPr="00346690" w:rsidRDefault="00346690" w:rsidP="00346690">
      <w:pPr>
        <w:jc w:val="both"/>
        <w:rPr>
          <w:rFonts w:asciiTheme="majorHAnsi" w:hAnsiTheme="majorHAnsi"/>
          <w:sz w:val="22"/>
          <w:szCs w:val="22"/>
        </w:rPr>
      </w:pPr>
    </w:p>
    <w:p w14:paraId="695C167C" w14:textId="77777777" w:rsidR="00346690" w:rsidRPr="00346690" w:rsidRDefault="00346690" w:rsidP="00346690">
      <w:pPr>
        <w:jc w:val="both"/>
        <w:rPr>
          <w:rFonts w:asciiTheme="majorHAnsi" w:hAnsiTheme="majorHAnsi"/>
          <w:sz w:val="22"/>
          <w:szCs w:val="22"/>
        </w:rPr>
      </w:pPr>
      <w:r w:rsidRPr="00346690">
        <w:rPr>
          <w:rFonts w:asciiTheme="majorHAnsi" w:hAnsiTheme="majorHAnsi"/>
          <w:sz w:val="22"/>
          <w:szCs w:val="22"/>
        </w:rPr>
        <w:t>In conclusion we consider it is a duty and could became also Bank’s virtue to focus its investments in projects and programs that bring win-win-win solutions for EU in terms of economic, social and climate benefits.</w:t>
      </w:r>
    </w:p>
    <w:p w14:paraId="0CD7779B" w14:textId="77777777" w:rsidR="00346690" w:rsidRPr="00346690" w:rsidRDefault="00346690" w:rsidP="00346690">
      <w:pPr>
        <w:jc w:val="both"/>
        <w:rPr>
          <w:rFonts w:asciiTheme="majorHAnsi" w:hAnsiTheme="majorHAnsi"/>
          <w:b/>
          <w:color w:val="2D3F90"/>
          <w:sz w:val="22"/>
          <w:szCs w:val="22"/>
          <w:lang w:val="en-GB"/>
        </w:rPr>
      </w:pPr>
    </w:p>
    <w:p w14:paraId="41141FA5" w14:textId="77777777" w:rsidR="00346690" w:rsidRPr="00346690" w:rsidRDefault="00346690" w:rsidP="00346690">
      <w:pPr>
        <w:jc w:val="both"/>
        <w:rPr>
          <w:rFonts w:asciiTheme="majorHAnsi" w:hAnsiTheme="majorHAnsi"/>
          <w:b/>
          <w:color w:val="2D3F90"/>
          <w:sz w:val="22"/>
          <w:szCs w:val="22"/>
          <w:lang w:val="en-GB"/>
        </w:rPr>
      </w:pPr>
      <w:r w:rsidRPr="00346690">
        <w:rPr>
          <w:rFonts w:asciiTheme="majorHAnsi" w:hAnsiTheme="majorHAnsi"/>
          <w:b/>
          <w:color w:val="2D3F90"/>
          <w:sz w:val="22"/>
          <w:szCs w:val="22"/>
          <w:lang w:val="en-GB"/>
        </w:rPr>
        <w:t xml:space="preserve">How does investment in the energy sector contribute to growth and employment? </w:t>
      </w:r>
    </w:p>
    <w:p w14:paraId="3C0EC878" w14:textId="77777777" w:rsidR="00346690" w:rsidRPr="00346690" w:rsidRDefault="00346690" w:rsidP="00346690">
      <w:pPr>
        <w:jc w:val="both"/>
        <w:rPr>
          <w:rFonts w:asciiTheme="majorHAnsi" w:hAnsiTheme="majorHAnsi"/>
          <w:b/>
          <w:color w:val="2D3F90"/>
          <w:sz w:val="22"/>
          <w:szCs w:val="22"/>
          <w:lang w:val="en-GB"/>
        </w:rPr>
      </w:pPr>
      <w:r w:rsidRPr="00346690">
        <w:rPr>
          <w:rFonts w:asciiTheme="majorHAnsi" w:hAnsiTheme="majorHAnsi"/>
          <w:b/>
          <w:color w:val="2D3F90"/>
          <w:sz w:val="22"/>
          <w:szCs w:val="22"/>
          <w:lang w:val="en-GB"/>
        </w:rPr>
        <w:t xml:space="preserve">Are investments in all energy sub-sectors equally valuable? And how does investment </w:t>
      </w:r>
    </w:p>
    <w:p w14:paraId="1E2D8108" w14:textId="77777777" w:rsidR="00346690" w:rsidRPr="00346690" w:rsidRDefault="00346690" w:rsidP="00346690">
      <w:pPr>
        <w:jc w:val="both"/>
        <w:rPr>
          <w:rFonts w:asciiTheme="majorHAnsi" w:hAnsiTheme="majorHAnsi"/>
          <w:b/>
          <w:color w:val="2D3F90"/>
          <w:sz w:val="22"/>
          <w:szCs w:val="22"/>
          <w:lang w:val="en-GB"/>
        </w:rPr>
      </w:pPr>
      <w:proofErr w:type="gramStart"/>
      <w:r w:rsidRPr="00346690">
        <w:rPr>
          <w:rFonts w:asciiTheme="majorHAnsi" w:hAnsiTheme="majorHAnsi"/>
          <w:b/>
          <w:color w:val="2D3F90"/>
          <w:sz w:val="22"/>
          <w:szCs w:val="22"/>
          <w:lang w:val="en-GB"/>
        </w:rPr>
        <w:t>in</w:t>
      </w:r>
      <w:proofErr w:type="gramEnd"/>
      <w:r w:rsidRPr="00346690">
        <w:rPr>
          <w:rFonts w:asciiTheme="majorHAnsi" w:hAnsiTheme="majorHAnsi"/>
          <w:b/>
          <w:color w:val="2D3F90"/>
          <w:sz w:val="22"/>
          <w:szCs w:val="22"/>
          <w:lang w:val="en-GB"/>
        </w:rPr>
        <w:t xml:space="preserve"> the energy sector rank relative to other investments in the economy which support </w:t>
      </w:r>
    </w:p>
    <w:p w14:paraId="52BBD6CA" w14:textId="77777777" w:rsidR="00346690" w:rsidRPr="00346690" w:rsidRDefault="00346690" w:rsidP="00346690">
      <w:pPr>
        <w:jc w:val="both"/>
        <w:rPr>
          <w:rFonts w:asciiTheme="majorHAnsi" w:hAnsiTheme="majorHAnsi"/>
          <w:b/>
          <w:color w:val="2D3F90"/>
          <w:sz w:val="22"/>
          <w:szCs w:val="22"/>
          <w:lang w:val="en-GB"/>
        </w:rPr>
      </w:pPr>
      <w:proofErr w:type="gramStart"/>
      <w:r w:rsidRPr="00346690">
        <w:rPr>
          <w:rFonts w:asciiTheme="majorHAnsi" w:hAnsiTheme="majorHAnsi"/>
          <w:b/>
          <w:color w:val="2D3F90"/>
          <w:sz w:val="22"/>
          <w:szCs w:val="22"/>
          <w:lang w:val="en-GB"/>
        </w:rPr>
        <w:t>growth</w:t>
      </w:r>
      <w:proofErr w:type="gramEnd"/>
      <w:r w:rsidRPr="00346690">
        <w:rPr>
          <w:rFonts w:asciiTheme="majorHAnsi" w:hAnsiTheme="majorHAnsi"/>
          <w:b/>
          <w:color w:val="2D3F90"/>
          <w:sz w:val="22"/>
          <w:szCs w:val="22"/>
          <w:lang w:val="en-GB"/>
        </w:rPr>
        <w:t xml:space="preserve"> and employment?   What impact do you consider the current economic crisis will have on the energy sector (demand, policies, supply)?</w:t>
      </w:r>
    </w:p>
    <w:p w14:paraId="0B2BD6C8" w14:textId="77777777" w:rsidR="00346690" w:rsidRPr="00346690" w:rsidRDefault="00346690" w:rsidP="00346690">
      <w:pPr>
        <w:jc w:val="both"/>
        <w:rPr>
          <w:rFonts w:asciiTheme="majorHAnsi" w:hAnsiTheme="majorHAnsi"/>
          <w:b/>
          <w:color w:val="2D3F90"/>
          <w:sz w:val="22"/>
          <w:szCs w:val="22"/>
          <w:lang w:val="en-GB"/>
        </w:rPr>
      </w:pPr>
    </w:p>
    <w:p w14:paraId="2BDB7081" w14:textId="77777777" w:rsidR="00346690" w:rsidRPr="00346690" w:rsidRDefault="00346690" w:rsidP="00346690">
      <w:pPr>
        <w:jc w:val="both"/>
        <w:rPr>
          <w:rFonts w:asciiTheme="majorHAnsi" w:hAnsiTheme="majorHAnsi"/>
          <w:b/>
          <w:color w:val="2D3F90"/>
          <w:sz w:val="28"/>
          <w:szCs w:val="22"/>
          <w:lang w:val="en-GB"/>
        </w:rPr>
      </w:pPr>
      <w:r w:rsidRPr="00346690">
        <w:rPr>
          <w:rFonts w:asciiTheme="majorHAnsi" w:hAnsiTheme="majorHAnsi"/>
          <w:b/>
          <w:color w:val="2D3F90"/>
          <w:sz w:val="28"/>
          <w:szCs w:val="22"/>
          <w:lang w:val="en-GB"/>
        </w:rPr>
        <w:t>4.2 Renewable Energy</w:t>
      </w:r>
    </w:p>
    <w:p w14:paraId="1C77C108" w14:textId="77777777" w:rsidR="00346690" w:rsidRPr="00346690" w:rsidRDefault="00346690" w:rsidP="00346690">
      <w:pPr>
        <w:jc w:val="both"/>
        <w:rPr>
          <w:rFonts w:asciiTheme="majorHAnsi" w:hAnsiTheme="majorHAnsi"/>
          <w:b/>
          <w:color w:val="2D3F90"/>
          <w:sz w:val="22"/>
          <w:szCs w:val="22"/>
          <w:lang w:val="en-GB"/>
        </w:rPr>
      </w:pPr>
    </w:p>
    <w:p w14:paraId="39352447" w14:textId="74345C42" w:rsidR="00346690" w:rsidRPr="00346690" w:rsidRDefault="00346690" w:rsidP="00346690">
      <w:pPr>
        <w:jc w:val="both"/>
        <w:rPr>
          <w:rFonts w:asciiTheme="majorHAnsi" w:hAnsiTheme="majorHAnsi"/>
          <w:b/>
          <w:color w:val="2D3F90"/>
          <w:sz w:val="22"/>
          <w:szCs w:val="22"/>
          <w:lang w:val="en-GB"/>
        </w:rPr>
      </w:pPr>
      <w:r w:rsidRPr="00346690">
        <w:rPr>
          <w:rFonts w:asciiTheme="majorHAnsi" w:hAnsiTheme="majorHAnsi"/>
          <w:b/>
          <w:color w:val="2D3F90"/>
          <w:sz w:val="22"/>
          <w:szCs w:val="22"/>
          <w:lang w:val="en-GB"/>
        </w:rPr>
        <w:t xml:space="preserve">The Bank’s economic justification for supporting emerging renewable energy technologies, whose cost is significantly above that of conventional and mature renewable energy technologies, is that continued investments in these technologies will eventually lead to cost reductions and will ultimately be the least-cost approach to meeting the EU’s renewable energy targets. Do you agree with this approach? Is there an alternative approach to </w:t>
      </w:r>
      <w:proofErr w:type="gramStart"/>
      <w:r w:rsidRPr="00346690">
        <w:rPr>
          <w:rFonts w:asciiTheme="majorHAnsi" w:hAnsiTheme="majorHAnsi"/>
          <w:b/>
          <w:color w:val="2D3F90"/>
          <w:sz w:val="22"/>
          <w:szCs w:val="22"/>
          <w:lang w:val="en-GB"/>
        </w:rPr>
        <w:t>the  economic</w:t>
      </w:r>
      <w:proofErr w:type="gramEnd"/>
      <w:r w:rsidRPr="00346690">
        <w:rPr>
          <w:rFonts w:asciiTheme="majorHAnsi" w:hAnsiTheme="majorHAnsi"/>
          <w:b/>
          <w:color w:val="2D3F90"/>
          <w:sz w:val="22"/>
          <w:szCs w:val="22"/>
          <w:lang w:val="en-GB"/>
        </w:rPr>
        <w:t xml:space="preserve"> justification of these technologies which you consider more appropriate?</w:t>
      </w:r>
    </w:p>
    <w:p w14:paraId="46BD7F80" w14:textId="77777777" w:rsidR="00346690" w:rsidRPr="00346690" w:rsidRDefault="00346690" w:rsidP="00346690">
      <w:pPr>
        <w:jc w:val="both"/>
        <w:rPr>
          <w:rFonts w:asciiTheme="majorHAnsi" w:hAnsiTheme="majorHAnsi"/>
          <w:b/>
          <w:color w:val="2D3F90"/>
          <w:sz w:val="22"/>
          <w:szCs w:val="22"/>
          <w:lang w:val="en-GB"/>
        </w:rPr>
      </w:pPr>
    </w:p>
    <w:p w14:paraId="6ED124D1" w14:textId="77777777" w:rsidR="00346690" w:rsidRPr="00346690" w:rsidRDefault="00346690" w:rsidP="00346690">
      <w:pPr>
        <w:jc w:val="both"/>
        <w:rPr>
          <w:rFonts w:asciiTheme="majorHAnsi" w:hAnsiTheme="majorHAnsi"/>
          <w:sz w:val="22"/>
          <w:szCs w:val="22"/>
          <w:lang w:val="en-GB"/>
        </w:rPr>
      </w:pPr>
      <w:r w:rsidRPr="00346690">
        <w:rPr>
          <w:rFonts w:asciiTheme="majorHAnsi" w:hAnsiTheme="majorHAnsi"/>
          <w:sz w:val="22"/>
          <w:szCs w:val="22"/>
          <w:lang w:val="en-GB"/>
        </w:rPr>
        <w:t xml:space="preserve">We totally agree with this approach (continued support to further decrease costs). However, the support should not just be justified in order to meeting EU’s renewable energy targets (it should not spot once EU reaches its 2020 binding targets). The support should aim at reducing the cost of these technologies even further so that they provide the most competitive energy solution for the whole economy in the medium and long term. So that the transition from a fossil-fuel dependent economy to an economy based on renewable and environmental friendly energy sources is achieved in the most cost effective way and that the position of the European industry is establish as a global technological leader. </w:t>
      </w:r>
    </w:p>
    <w:p w14:paraId="687E6587" w14:textId="77777777" w:rsidR="00346690" w:rsidRPr="00346690" w:rsidRDefault="00346690" w:rsidP="00346690">
      <w:pPr>
        <w:jc w:val="both"/>
        <w:rPr>
          <w:rFonts w:asciiTheme="majorHAnsi" w:hAnsiTheme="majorHAnsi"/>
          <w:b/>
          <w:color w:val="2D3F90"/>
          <w:sz w:val="22"/>
          <w:szCs w:val="22"/>
          <w:lang w:val="en-GB"/>
        </w:rPr>
      </w:pPr>
    </w:p>
    <w:p w14:paraId="5409D2C5" w14:textId="77777777" w:rsidR="00346690" w:rsidRPr="00346690" w:rsidRDefault="00346690" w:rsidP="00346690">
      <w:pPr>
        <w:jc w:val="both"/>
        <w:rPr>
          <w:rFonts w:asciiTheme="majorHAnsi" w:hAnsiTheme="majorHAnsi"/>
          <w:b/>
          <w:color w:val="2D3F90"/>
          <w:sz w:val="22"/>
          <w:szCs w:val="22"/>
          <w:lang w:val="en-GB"/>
        </w:rPr>
      </w:pPr>
      <w:r w:rsidRPr="00346690">
        <w:rPr>
          <w:rFonts w:asciiTheme="majorHAnsi" w:hAnsiTheme="majorHAnsi"/>
          <w:b/>
          <w:color w:val="2D3F90"/>
          <w:sz w:val="22"/>
          <w:szCs w:val="22"/>
          <w:lang w:val="en-GB"/>
        </w:rPr>
        <w:t xml:space="preserve">What evidence is there that the cost of emerging renewable technology is falling?  </w:t>
      </w:r>
    </w:p>
    <w:p w14:paraId="17E7AA88" w14:textId="77777777" w:rsidR="00346690" w:rsidRPr="00346690" w:rsidRDefault="00346690" w:rsidP="00346690">
      <w:pPr>
        <w:jc w:val="both"/>
        <w:rPr>
          <w:rFonts w:asciiTheme="majorHAnsi" w:hAnsiTheme="majorHAnsi"/>
          <w:sz w:val="22"/>
          <w:szCs w:val="22"/>
          <w:lang w:val="en-GB"/>
        </w:rPr>
      </w:pPr>
      <w:r w:rsidRPr="00346690">
        <w:rPr>
          <w:rFonts w:asciiTheme="majorHAnsi" w:hAnsiTheme="majorHAnsi"/>
          <w:sz w:val="22"/>
          <w:szCs w:val="22"/>
          <w:lang w:val="en-GB"/>
        </w:rPr>
        <w:t xml:space="preserve">There several examples to show the sharp decrease of renewable energy sources costs. The best examples are found for technologies that have been benefiting from financial support/stimulus at two fronts (R&amp;D in one side and deployment policies in the other side). In the photovoltaic sector, for instance, there are several sources that provide those evidences (e.g. European Photovoltaic industry association, the EU PV technology Platform through their Strategic research Agenda). In the wind sector, organizations such as the European Wind Energy Association can provide the best estimates for </w:t>
      </w:r>
      <w:proofErr w:type="gramStart"/>
      <w:r w:rsidRPr="00346690">
        <w:rPr>
          <w:rFonts w:asciiTheme="majorHAnsi" w:hAnsiTheme="majorHAnsi"/>
          <w:sz w:val="22"/>
          <w:szCs w:val="22"/>
          <w:lang w:val="en-GB"/>
        </w:rPr>
        <w:t>off-shore</w:t>
      </w:r>
      <w:proofErr w:type="gramEnd"/>
      <w:r w:rsidRPr="00346690">
        <w:rPr>
          <w:rFonts w:asciiTheme="majorHAnsi" w:hAnsiTheme="majorHAnsi"/>
          <w:sz w:val="22"/>
          <w:szCs w:val="22"/>
          <w:lang w:val="en-GB"/>
        </w:rPr>
        <w:t xml:space="preserve"> wind. </w:t>
      </w:r>
    </w:p>
    <w:p w14:paraId="2D85EA84" w14:textId="77777777" w:rsidR="00346690" w:rsidRPr="00346690" w:rsidRDefault="00346690" w:rsidP="00346690">
      <w:pPr>
        <w:jc w:val="both"/>
        <w:rPr>
          <w:rFonts w:asciiTheme="majorHAnsi" w:hAnsiTheme="majorHAnsi"/>
          <w:sz w:val="22"/>
          <w:szCs w:val="22"/>
          <w:lang w:val="en-GB"/>
        </w:rPr>
      </w:pPr>
      <w:r w:rsidRPr="00346690">
        <w:rPr>
          <w:rFonts w:asciiTheme="majorHAnsi" w:hAnsiTheme="majorHAnsi"/>
          <w:sz w:val="22"/>
          <w:szCs w:val="22"/>
          <w:lang w:val="en-GB"/>
        </w:rPr>
        <w:t xml:space="preserve">However, the best evidence of the continued fast cost decrease can be seen in the (decreasing) level of support that </w:t>
      </w:r>
      <w:proofErr w:type="gramStart"/>
      <w:r w:rsidRPr="00346690">
        <w:rPr>
          <w:rFonts w:asciiTheme="majorHAnsi" w:hAnsiTheme="majorHAnsi"/>
          <w:sz w:val="22"/>
          <w:szCs w:val="22"/>
          <w:lang w:val="en-GB"/>
        </w:rPr>
        <w:t>members</w:t>
      </w:r>
      <w:proofErr w:type="gramEnd"/>
      <w:r w:rsidRPr="00346690">
        <w:rPr>
          <w:rFonts w:asciiTheme="majorHAnsi" w:hAnsiTheme="majorHAnsi"/>
          <w:sz w:val="22"/>
          <w:szCs w:val="22"/>
          <w:lang w:val="en-GB"/>
        </w:rPr>
        <w:t xml:space="preserve"> states have provided (e.g. through feed-in-tariffs in Germany or Italy) to those technologies. We can observe that even if that support has been reduced every year (or even faster), the industry has continued to find competitive solutions.  </w:t>
      </w:r>
    </w:p>
    <w:p w14:paraId="05828BE5" w14:textId="77777777" w:rsidR="00346690" w:rsidRPr="00346690" w:rsidRDefault="00346690" w:rsidP="00346690">
      <w:pPr>
        <w:jc w:val="both"/>
        <w:rPr>
          <w:rFonts w:asciiTheme="majorHAnsi" w:hAnsiTheme="majorHAnsi"/>
          <w:b/>
          <w:color w:val="2D3F90"/>
          <w:sz w:val="22"/>
          <w:szCs w:val="22"/>
          <w:lang w:val="en-GB"/>
        </w:rPr>
      </w:pPr>
    </w:p>
    <w:p w14:paraId="7C3D7DAB" w14:textId="77777777" w:rsidR="00346690" w:rsidRPr="00346690" w:rsidRDefault="00346690" w:rsidP="00346690">
      <w:pPr>
        <w:jc w:val="both"/>
        <w:rPr>
          <w:rFonts w:asciiTheme="majorHAnsi" w:hAnsiTheme="majorHAnsi"/>
          <w:b/>
          <w:color w:val="2D3F90"/>
          <w:sz w:val="22"/>
          <w:szCs w:val="22"/>
          <w:lang w:val="en-GB"/>
        </w:rPr>
      </w:pPr>
      <w:r w:rsidRPr="00346690">
        <w:rPr>
          <w:rFonts w:asciiTheme="majorHAnsi" w:hAnsiTheme="majorHAnsi"/>
          <w:b/>
          <w:color w:val="2D3F90"/>
          <w:sz w:val="22"/>
          <w:szCs w:val="22"/>
          <w:lang w:val="en-GB"/>
        </w:rPr>
        <w:t>What level of investment in RE do you expect in the short and medium term?</w:t>
      </w:r>
    </w:p>
    <w:p w14:paraId="5E0B1323" w14:textId="77777777" w:rsidR="00346690" w:rsidRPr="00346690" w:rsidRDefault="00346690" w:rsidP="00346690">
      <w:pPr>
        <w:jc w:val="both"/>
        <w:rPr>
          <w:rFonts w:asciiTheme="majorHAnsi" w:hAnsiTheme="majorHAnsi"/>
          <w:b/>
          <w:color w:val="2D3F90"/>
          <w:sz w:val="22"/>
          <w:szCs w:val="22"/>
          <w:lang w:val="en-GB"/>
        </w:rPr>
      </w:pPr>
      <w:r w:rsidRPr="00346690">
        <w:rPr>
          <w:rFonts w:asciiTheme="majorHAnsi" w:hAnsiTheme="majorHAnsi"/>
          <w:b/>
          <w:color w:val="2D3F90"/>
          <w:sz w:val="22"/>
          <w:szCs w:val="22"/>
          <w:lang w:val="en-GB"/>
        </w:rPr>
        <w:t xml:space="preserve">What are the barriers to investment in renewable energy outside Europe? How might these be overcome? </w:t>
      </w:r>
    </w:p>
    <w:p w14:paraId="69EA1608" w14:textId="77777777" w:rsidR="00346690" w:rsidRPr="00346690" w:rsidRDefault="00346690" w:rsidP="00346690">
      <w:pPr>
        <w:jc w:val="both"/>
        <w:rPr>
          <w:rFonts w:asciiTheme="majorHAnsi" w:hAnsiTheme="majorHAnsi"/>
          <w:sz w:val="22"/>
          <w:szCs w:val="22"/>
          <w:lang w:val="en-GB"/>
        </w:rPr>
      </w:pPr>
    </w:p>
    <w:p w14:paraId="545C1576" w14:textId="77777777" w:rsidR="00346690" w:rsidRPr="00346690" w:rsidRDefault="00346690" w:rsidP="00346690">
      <w:pPr>
        <w:jc w:val="both"/>
        <w:rPr>
          <w:rFonts w:asciiTheme="majorHAnsi" w:hAnsiTheme="majorHAnsi"/>
          <w:sz w:val="22"/>
          <w:szCs w:val="22"/>
          <w:lang w:val="en-GB"/>
        </w:rPr>
      </w:pPr>
      <w:r w:rsidRPr="00346690">
        <w:rPr>
          <w:rFonts w:asciiTheme="majorHAnsi" w:hAnsiTheme="majorHAnsi"/>
          <w:sz w:val="22"/>
          <w:szCs w:val="22"/>
          <w:lang w:val="en-GB"/>
        </w:rPr>
        <w:t xml:space="preserve">Outside Europe, as well as within Europe, the main barriers to investments are the lack of regulatory certainty and political stability. Another very important barrier is the lack of regulatory transparency and the existence of complex administrative producers. </w:t>
      </w:r>
    </w:p>
    <w:p w14:paraId="6BB02090" w14:textId="77777777" w:rsidR="00346690" w:rsidRPr="00346690" w:rsidRDefault="00346690" w:rsidP="00346690">
      <w:pPr>
        <w:jc w:val="both"/>
        <w:rPr>
          <w:rFonts w:asciiTheme="majorHAnsi" w:hAnsiTheme="majorHAnsi"/>
          <w:sz w:val="22"/>
          <w:szCs w:val="22"/>
          <w:lang w:val="en-GB"/>
        </w:rPr>
      </w:pPr>
    </w:p>
    <w:p w14:paraId="5EDE2634" w14:textId="77777777" w:rsidR="00346690" w:rsidRPr="00346690" w:rsidRDefault="00346690" w:rsidP="00346690">
      <w:pPr>
        <w:jc w:val="both"/>
        <w:rPr>
          <w:rFonts w:asciiTheme="majorHAnsi" w:hAnsiTheme="majorHAnsi"/>
          <w:sz w:val="22"/>
          <w:szCs w:val="22"/>
          <w:lang w:val="en-GB"/>
        </w:rPr>
      </w:pPr>
      <w:r w:rsidRPr="00346690">
        <w:rPr>
          <w:rFonts w:asciiTheme="majorHAnsi" w:hAnsiTheme="majorHAnsi"/>
          <w:sz w:val="22"/>
          <w:szCs w:val="22"/>
          <w:lang w:val="en-GB"/>
        </w:rPr>
        <w:t xml:space="preserve">Currently, due to the economic crisis, access to capital can be even more crucial than all the elements above mentioned. However, capital will be more easily available is the barriers early mentioned are well removed. </w:t>
      </w:r>
    </w:p>
    <w:p w14:paraId="0B6C7654" w14:textId="77777777" w:rsidR="00346690" w:rsidRPr="00346690" w:rsidRDefault="00346690" w:rsidP="00346690">
      <w:pPr>
        <w:jc w:val="both"/>
        <w:rPr>
          <w:rFonts w:asciiTheme="majorHAnsi" w:hAnsiTheme="majorHAnsi"/>
          <w:b/>
          <w:color w:val="2D3F90"/>
          <w:sz w:val="22"/>
          <w:szCs w:val="22"/>
          <w:lang w:val="en-GB"/>
        </w:rPr>
      </w:pPr>
      <w:r w:rsidRPr="00346690">
        <w:rPr>
          <w:rFonts w:asciiTheme="majorHAnsi" w:hAnsiTheme="majorHAnsi"/>
          <w:b/>
          <w:color w:val="2D3F90"/>
          <w:sz w:val="22"/>
          <w:szCs w:val="22"/>
          <w:lang w:val="en-GB"/>
        </w:rPr>
        <w:t xml:space="preserve"> </w:t>
      </w:r>
    </w:p>
    <w:p w14:paraId="5B043B65" w14:textId="77777777" w:rsidR="00346690" w:rsidRDefault="00346690" w:rsidP="00346690">
      <w:pPr>
        <w:jc w:val="both"/>
        <w:rPr>
          <w:rFonts w:asciiTheme="majorHAnsi" w:hAnsiTheme="majorHAnsi"/>
          <w:b/>
          <w:color w:val="2D3F90"/>
          <w:sz w:val="22"/>
          <w:szCs w:val="22"/>
          <w:lang w:val="en-GB"/>
        </w:rPr>
      </w:pPr>
      <w:r w:rsidRPr="00346690">
        <w:rPr>
          <w:rFonts w:asciiTheme="majorHAnsi" w:hAnsiTheme="majorHAnsi"/>
          <w:b/>
          <w:color w:val="2D3F90"/>
          <w:sz w:val="22"/>
          <w:szCs w:val="22"/>
          <w:lang w:val="en-GB"/>
        </w:rPr>
        <w:t xml:space="preserve">Do you agree that there is significant scope for investment in renewable heating and cooling?  </w:t>
      </w:r>
    </w:p>
    <w:p w14:paraId="1FCC1AFF" w14:textId="77777777" w:rsidR="00346690" w:rsidRPr="00346690" w:rsidRDefault="00346690" w:rsidP="00346690">
      <w:pPr>
        <w:jc w:val="both"/>
        <w:rPr>
          <w:rFonts w:asciiTheme="majorHAnsi" w:hAnsiTheme="majorHAnsi"/>
          <w:b/>
          <w:color w:val="2D3F90"/>
          <w:sz w:val="22"/>
          <w:szCs w:val="22"/>
          <w:lang w:val="en-GB"/>
        </w:rPr>
      </w:pPr>
    </w:p>
    <w:p w14:paraId="4C678B73" w14:textId="77777777" w:rsidR="00346690" w:rsidRPr="00346690" w:rsidRDefault="00346690" w:rsidP="00346690">
      <w:pPr>
        <w:jc w:val="both"/>
        <w:rPr>
          <w:rFonts w:asciiTheme="majorHAnsi" w:hAnsiTheme="majorHAnsi"/>
          <w:sz w:val="22"/>
          <w:szCs w:val="22"/>
          <w:lang w:val="en-GB"/>
        </w:rPr>
      </w:pPr>
      <w:r w:rsidRPr="00346690">
        <w:rPr>
          <w:rFonts w:asciiTheme="majorHAnsi" w:hAnsiTheme="majorHAnsi"/>
          <w:sz w:val="22"/>
          <w:szCs w:val="22"/>
          <w:lang w:val="en-GB"/>
        </w:rPr>
        <w:t xml:space="preserve">Renewable energy sources have a great potential to satisfy the energy demand of the heating and cooling sector. By 2020, half of the RES contribution to the 20% target would be satisfying the needs of the heating and cooling sector. A lot can be done in the building sector, especially among residential consumers. Of course, the number of investments needed is very high and the volume of those investments relatively small, so there is a need to set up specific programs at national and regional level, together with energy agencies, to ensure the correct information (with awareness campaigns) and participation from citizens. </w:t>
      </w:r>
    </w:p>
    <w:p w14:paraId="3B5D9AFC" w14:textId="77777777" w:rsidR="00346690" w:rsidRPr="00346690" w:rsidRDefault="00346690" w:rsidP="00346690">
      <w:pPr>
        <w:jc w:val="both"/>
        <w:rPr>
          <w:rFonts w:asciiTheme="majorHAnsi" w:hAnsiTheme="majorHAnsi"/>
          <w:b/>
          <w:color w:val="2D3F90"/>
          <w:sz w:val="22"/>
          <w:szCs w:val="22"/>
          <w:lang w:val="en-GB"/>
        </w:rPr>
      </w:pPr>
    </w:p>
    <w:p w14:paraId="110F9815" w14:textId="77777777" w:rsidR="00346690" w:rsidRPr="00346690" w:rsidRDefault="00346690" w:rsidP="00346690">
      <w:pPr>
        <w:jc w:val="both"/>
        <w:rPr>
          <w:rFonts w:asciiTheme="majorHAnsi" w:hAnsiTheme="majorHAnsi"/>
          <w:b/>
          <w:color w:val="2D3F90"/>
          <w:sz w:val="22"/>
          <w:szCs w:val="22"/>
          <w:lang w:val="en-GB"/>
        </w:rPr>
      </w:pPr>
      <w:r w:rsidRPr="00346690">
        <w:rPr>
          <w:rFonts w:asciiTheme="majorHAnsi" w:hAnsiTheme="majorHAnsi"/>
          <w:b/>
          <w:color w:val="2D3F90"/>
          <w:sz w:val="22"/>
          <w:szCs w:val="22"/>
          <w:lang w:val="en-GB"/>
        </w:rPr>
        <w:t xml:space="preserve">What are the barriers to investments in this sector and how might these be overcome?  </w:t>
      </w:r>
    </w:p>
    <w:p w14:paraId="1E4A0BA3" w14:textId="77777777" w:rsidR="00346690" w:rsidRPr="00346690" w:rsidRDefault="00346690" w:rsidP="00346690">
      <w:pPr>
        <w:jc w:val="both"/>
        <w:rPr>
          <w:rFonts w:asciiTheme="majorHAnsi" w:hAnsiTheme="majorHAnsi"/>
          <w:b/>
          <w:color w:val="2D3F90"/>
          <w:sz w:val="22"/>
          <w:szCs w:val="22"/>
          <w:lang w:val="en-GB"/>
        </w:rPr>
      </w:pPr>
    </w:p>
    <w:p w14:paraId="19AD33ED" w14:textId="77777777" w:rsidR="00346690" w:rsidRPr="00346690" w:rsidRDefault="00346690" w:rsidP="00346690">
      <w:pPr>
        <w:jc w:val="both"/>
        <w:rPr>
          <w:rFonts w:asciiTheme="majorHAnsi" w:hAnsiTheme="majorHAnsi"/>
          <w:b/>
          <w:color w:val="2D3F90"/>
          <w:sz w:val="28"/>
          <w:szCs w:val="22"/>
          <w:lang w:val="en-GB"/>
        </w:rPr>
      </w:pPr>
      <w:r w:rsidRPr="00346690">
        <w:rPr>
          <w:rFonts w:asciiTheme="majorHAnsi" w:hAnsiTheme="majorHAnsi"/>
          <w:b/>
          <w:color w:val="2D3F90"/>
          <w:sz w:val="28"/>
          <w:szCs w:val="22"/>
          <w:lang w:val="en-GB"/>
        </w:rPr>
        <w:t>4.3 Energy Efficiency</w:t>
      </w:r>
    </w:p>
    <w:p w14:paraId="24ADB80E" w14:textId="77777777" w:rsidR="00346690" w:rsidRPr="00346690" w:rsidRDefault="00346690" w:rsidP="00346690">
      <w:pPr>
        <w:jc w:val="both"/>
        <w:rPr>
          <w:rFonts w:asciiTheme="majorHAnsi" w:hAnsiTheme="majorHAnsi"/>
          <w:b/>
          <w:color w:val="2D3F90"/>
          <w:sz w:val="22"/>
          <w:szCs w:val="22"/>
          <w:lang w:val="en-GB"/>
        </w:rPr>
      </w:pPr>
    </w:p>
    <w:p w14:paraId="7CB0B8CD" w14:textId="761B1F2D" w:rsidR="00346690" w:rsidRPr="00346690" w:rsidRDefault="00346690" w:rsidP="00346690">
      <w:pPr>
        <w:jc w:val="both"/>
        <w:rPr>
          <w:rFonts w:asciiTheme="majorHAnsi" w:hAnsiTheme="majorHAnsi"/>
          <w:b/>
          <w:color w:val="2D3F90"/>
          <w:sz w:val="22"/>
          <w:szCs w:val="22"/>
          <w:lang w:val="en-GB"/>
        </w:rPr>
      </w:pPr>
      <w:r w:rsidRPr="00346690">
        <w:rPr>
          <w:rFonts w:asciiTheme="majorHAnsi" w:hAnsiTheme="majorHAnsi"/>
          <w:b/>
          <w:color w:val="2D3F90"/>
          <w:sz w:val="22"/>
          <w:szCs w:val="22"/>
          <w:lang w:val="en-GB"/>
        </w:rPr>
        <w:t xml:space="preserve">What do you think are the main barriers to energy efficiency investments? What might be done to overcome these?  </w:t>
      </w:r>
    </w:p>
    <w:p w14:paraId="22AE8AD5" w14:textId="77777777" w:rsidR="00346690" w:rsidRPr="00346690" w:rsidRDefault="00346690" w:rsidP="00346690">
      <w:pPr>
        <w:jc w:val="both"/>
        <w:rPr>
          <w:rFonts w:asciiTheme="majorHAnsi" w:hAnsiTheme="majorHAnsi"/>
          <w:b/>
          <w:color w:val="2D3F90"/>
          <w:sz w:val="22"/>
          <w:szCs w:val="22"/>
          <w:lang w:val="en-GB"/>
        </w:rPr>
      </w:pPr>
    </w:p>
    <w:p w14:paraId="1D10D8AF" w14:textId="77777777" w:rsidR="00346690" w:rsidRPr="00346690" w:rsidRDefault="00346690" w:rsidP="00346690">
      <w:pPr>
        <w:jc w:val="both"/>
        <w:rPr>
          <w:rFonts w:asciiTheme="majorHAnsi" w:hAnsiTheme="majorHAnsi"/>
          <w:sz w:val="22"/>
          <w:szCs w:val="22"/>
          <w:lang w:val="en-GB"/>
        </w:rPr>
      </w:pPr>
      <w:r w:rsidRPr="00346690">
        <w:rPr>
          <w:rFonts w:asciiTheme="majorHAnsi" w:hAnsiTheme="majorHAnsi"/>
          <w:sz w:val="22"/>
          <w:szCs w:val="22"/>
          <w:lang w:val="en-GB"/>
        </w:rPr>
        <w:t xml:space="preserve">From the perspective of individual energy consumers (households or businesses) the barriers vary somewhat according to the category of energy use, but in general terms include </w:t>
      </w:r>
    </w:p>
    <w:p w14:paraId="2A557A1B" w14:textId="77777777" w:rsidR="00346690" w:rsidRPr="00346690" w:rsidRDefault="00346690" w:rsidP="00346690">
      <w:pPr>
        <w:numPr>
          <w:ilvl w:val="0"/>
          <w:numId w:val="5"/>
        </w:numPr>
        <w:jc w:val="both"/>
        <w:rPr>
          <w:rFonts w:asciiTheme="majorHAnsi" w:hAnsiTheme="majorHAnsi"/>
          <w:sz w:val="22"/>
          <w:szCs w:val="22"/>
          <w:lang w:val="en-GB"/>
        </w:rPr>
      </w:pPr>
      <w:proofErr w:type="gramStart"/>
      <w:r w:rsidRPr="00346690">
        <w:rPr>
          <w:rFonts w:asciiTheme="majorHAnsi" w:hAnsiTheme="majorHAnsi"/>
          <w:sz w:val="22"/>
          <w:szCs w:val="22"/>
          <w:lang w:val="en-GB"/>
        </w:rPr>
        <w:t>split</w:t>
      </w:r>
      <w:proofErr w:type="gramEnd"/>
      <w:r w:rsidRPr="00346690">
        <w:rPr>
          <w:rFonts w:asciiTheme="majorHAnsi" w:hAnsiTheme="majorHAnsi"/>
          <w:sz w:val="22"/>
          <w:szCs w:val="22"/>
          <w:lang w:val="en-GB"/>
        </w:rPr>
        <w:t xml:space="preserve"> incentives (notably between landlords and tenants) or unclear responsibilities (e.g. in the case of different departments in a business)</w:t>
      </w:r>
    </w:p>
    <w:p w14:paraId="2C3A310E" w14:textId="77777777" w:rsidR="00346690" w:rsidRPr="00346690" w:rsidRDefault="00346690" w:rsidP="00346690">
      <w:pPr>
        <w:numPr>
          <w:ilvl w:val="0"/>
          <w:numId w:val="5"/>
        </w:numPr>
        <w:jc w:val="both"/>
        <w:rPr>
          <w:rFonts w:asciiTheme="majorHAnsi" w:hAnsiTheme="majorHAnsi"/>
          <w:sz w:val="22"/>
          <w:szCs w:val="22"/>
          <w:lang w:val="en-GB"/>
        </w:rPr>
      </w:pPr>
      <w:proofErr w:type="gramStart"/>
      <w:r w:rsidRPr="00346690">
        <w:rPr>
          <w:rFonts w:asciiTheme="majorHAnsi" w:hAnsiTheme="majorHAnsi"/>
          <w:sz w:val="22"/>
          <w:szCs w:val="22"/>
          <w:lang w:val="en-GB"/>
        </w:rPr>
        <w:t>lack</w:t>
      </w:r>
      <w:proofErr w:type="gramEnd"/>
      <w:r w:rsidRPr="00346690">
        <w:rPr>
          <w:rFonts w:asciiTheme="majorHAnsi" w:hAnsiTheme="majorHAnsi"/>
          <w:sz w:val="22"/>
          <w:szCs w:val="22"/>
          <w:lang w:val="en-GB"/>
        </w:rPr>
        <w:t xml:space="preserve"> of knowledge and information about their own energy consumption or which savings measures to take (and how)</w:t>
      </w:r>
    </w:p>
    <w:p w14:paraId="4F78B85B" w14:textId="77777777" w:rsidR="00346690" w:rsidRPr="00346690" w:rsidRDefault="00346690" w:rsidP="00346690">
      <w:pPr>
        <w:numPr>
          <w:ilvl w:val="0"/>
          <w:numId w:val="5"/>
        </w:numPr>
        <w:jc w:val="both"/>
        <w:rPr>
          <w:rFonts w:asciiTheme="majorHAnsi" w:hAnsiTheme="majorHAnsi"/>
          <w:sz w:val="22"/>
          <w:szCs w:val="22"/>
          <w:lang w:val="en-GB"/>
        </w:rPr>
      </w:pPr>
      <w:proofErr w:type="gramStart"/>
      <w:r w:rsidRPr="00346690">
        <w:rPr>
          <w:rFonts w:asciiTheme="majorHAnsi" w:hAnsiTheme="majorHAnsi"/>
          <w:sz w:val="22"/>
          <w:szCs w:val="22"/>
          <w:lang w:val="en-GB"/>
        </w:rPr>
        <w:t>lack</w:t>
      </w:r>
      <w:proofErr w:type="gramEnd"/>
      <w:r w:rsidRPr="00346690">
        <w:rPr>
          <w:rFonts w:asciiTheme="majorHAnsi" w:hAnsiTheme="majorHAnsi"/>
          <w:sz w:val="22"/>
          <w:szCs w:val="22"/>
          <w:lang w:val="en-GB"/>
        </w:rPr>
        <w:t xml:space="preserve"> of access to, or the opportunity cost of, upfront capital</w:t>
      </w:r>
    </w:p>
    <w:p w14:paraId="654565D4" w14:textId="77777777" w:rsidR="00346690" w:rsidRPr="00346690" w:rsidRDefault="00346690" w:rsidP="00346690">
      <w:pPr>
        <w:numPr>
          <w:ilvl w:val="0"/>
          <w:numId w:val="5"/>
        </w:numPr>
        <w:jc w:val="both"/>
        <w:rPr>
          <w:rFonts w:asciiTheme="majorHAnsi" w:hAnsiTheme="majorHAnsi"/>
          <w:sz w:val="22"/>
          <w:szCs w:val="22"/>
          <w:lang w:val="en-GB"/>
        </w:rPr>
      </w:pPr>
      <w:proofErr w:type="gramStart"/>
      <w:r w:rsidRPr="00346690">
        <w:rPr>
          <w:rFonts w:asciiTheme="majorHAnsi" w:hAnsiTheme="majorHAnsi"/>
          <w:sz w:val="22"/>
          <w:szCs w:val="22"/>
          <w:lang w:val="en-GB"/>
        </w:rPr>
        <w:t>non</w:t>
      </w:r>
      <w:proofErr w:type="gramEnd"/>
      <w:r w:rsidRPr="00346690">
        <w:rPr>
          <w:rFonts w:asciiTheme="majorHAnsi" w:hAnsiTheme="majorHAnsi"/>
          <w:sz w:val="22"/>
          <w:szCs w:val="22"/>
          <w:lang w:val="en-GB"/>
        </w:rPr>
        <w:t>-availability of relevant workforce or efficient services (e.g. well-integrated public transport) in the local area</w:t>
      </w:r>
    </w:p>
    <w:p w14:paraId="32607000" w14:textId="77777777" w:rsidR="00346690" w:rsidRPr="00346690" w:rsidRDefault="00346690" w:rsidP="00346690">
      <w:pPr>
        <w:numPr>
          <w:ilvl w:val="0"/>
          <w:numId w:val="5"/>
        </w:numPr>
        <w:jc w:val="both"/>
        <w:rPr>
          <w:rFonts w:asciiTheme="majorHAnsi" w:hAnsiTheme="majorHAnsi"/>
          <w:sz w:val="22"/>
          <w:szCs w:val="22"/>
          <w:lang w:val="en-GB"/>
        </w:rPr>
      </w:pPr>
      <w:proofErr w:type="gramStart"/>
      <w:r w:rsidRPr="00346690">
        <w:rPr>
          <w:rFonts w:asciiTheme="majorHAnsi" w:hAnsiTheme="majorHAnsi"/>
          <w:sz w:val="22"/>
          <w:szCs w:val="22"/>
          <w:lang w:val="en-GB"/>
        </w:rPr>
        <w:t>hassle</w:t>
      </w:r>
      <w:proofErr w:type="gramEnd"/>
    </w:p>
    <w:p w14:paraId="38B57EC0" w14:textId="77777777" w:rsidR="00346690" w:rsidRPr="00346690" w:rsidRDefault="00346690" w:rsidP="00346690">
      <w:pPr>
        <w:numPr>
          <w:ilvl w:val="0"/>
          <w:numId w:val="5"/>
        </w:numPr>
        <w:jc w:val="both"/>
        <w:rPr>
          <w:rFonts w:asciiTheme="majorHAnsi" w:hAnsiTheme="majorHAnsi"/>
          <w:sz w:val="22"/>
          <w:szCs w:val="22"/>
          <w:lang w:val="en-GB"/>
        </w:rPr>
      </w:pPr>
      <w:proofErr w:type="gramStart"/>
      <w:r w:rsidRPr="00346690">
        <w:rPr>
          <w:rFonts w:asciiTheme="majorHAnsi" w:hAnsiTheme="majorHAnsi"/>
          <w:sz w:val="22"/>
          <w:szCs w:val="22"/>
          <w:lang w:val="en-GB"/>
        </w:rPr>
        <w:t>higher</w:t>
      </w:r>
      <w:proofErr w:type="gramEnd"/>
      <w:r w:rsidRPr="00346690">
        <w:rPr>
          <w:rFonts w:asciiTheme="majorHAnsi" w:hAnsiTheme="majorHAnsi"/>
          <w:sz w:val="22"/>
          <w:szCs w:val="22"/>
          <w:lang w:val="en-GB"/>
        </w:rPr>
        <w:t xml:space="preserve"> capital costs of efficient products, appliances, vehicles etc. </w:t>
      </w:r>
    </w:p>
    <w:p w14:paraId="25CC61EB" w14:textId="77777777" w:rsidR="00346690" w:rsidRPr="00346690" w:rsidRDefault="00346690" w:rsidP="00346690">
      <w:pPr>
        <w:jc w:val="both"/>
        <w:rPr>
          <w:rFonts w:asciiTheme="majorHAnsi" w:hAnsiTheme="majorHAnsi"/>
          <w:sz w:val="22"/>
          <w:szCs w:val="22"/>
          <w:lang w:val="en-GB"/>
        </w:rPr>
      </w:pPr>
    </w:p>
    <w:p w14:paraId="2CD549DE" w14:textId="77777777" w:rsidR="00346690" w:rsidRPr="00346690" w:rsidRDefault="00346690" w:rsidP="00346690">
      <w:pPr>
        <w:jc w:val="both"/>
        <w:rPr>
          <w:rFonts w:asciiTheme="majorHAnsi" w:hAnsiTheme="majorHAnsi"/>
          <w:sz w:val="22"/>
          <w:szCs w:val="22"/>
          <w:lang w:val="en-GB"/>
        </w:rPr>
      </w:pPr>
      <w:r w:rsidRPr="00346690">
        <w:rPr>
          <w:rFonts w:asciiTheme="majorHAnsi" w:hAnsiTheme="majorHAnsi"/>
          <w:sz w:val="22"/>
          <w:szCs w:val="22"/>
          <w:lang w:val="en-GB"/>
        </w:rPr>
        <w:t xml:space="preserve">Regarding upfront capital, a number of issues stand in the way of financial investors who might otherwise be able to provide this. It should be noted that energy savings are potentially a very interesting area, offering guaranteed returns over a long period of time, and with a vast as yet untapped investment potential. Barriers include lack of familiarity with the area or of demonstrated large-scale viability, the dispersed nature of the opportunities and the lack of bankable project pipelines. </w:t>
      </w:r>
    </w:p>
    <w:p w14:paraId="0D7F86CB" w14:textId="77777777" w:rsidR="00346690" w:rsidRPr="00346690" w:rsidRDefault="00346690" w:rsidP="00346690">
      <w:pPr>
        <w:jc w:val="both"/>
        <w:rPr>
          <w:rFonts w:asciiTheme="majorHAnsi" w:hAnsiTheme="majorHAnsi"/>
          <w:sz w:val="22"/>
          <w:szCs w:val="22"/>
          <w:lang w:val="en-GB"/>
        </w:rPr>
      </w:pPr>
    </w:p>
    <w:p w14:paraId="7062D59C" w14:textId="77777777" w:rsidR="00346690" w:rsidRPr="00346690" w:rsidRDefault="00346690" w:rsidP="00346690">
      <w:pPr>
        <w:jc w:val="both"/>
        <w:rPr>
          <w:rFonts w:asciiTheme="majorHAnsi" w:hAnsiTheme="majorHAnsi"/>
          <w:sz w:val="22"/>
          <w:szCs w:val="22"/>
          <w:lang w:val="en-GB"/>
        </w:rPr>
      </w:pPr>
      <w:r w:rsidRPr="00346690">
        <w:rPr>
          <w:rFonts w:asciiTheme="majorHAnsi" w:hAnsiTheme="majorHAnsi"/>
          <w:sz w:val="22"/>
          <w:szCs w:val="22"/>
          <w:lang w:val="en-GB"/>
        </w:rPr>
        <w:t xml:space="preserve">The EIB can play a potentially very important role in terms of both helping to demonstrate the viability of efficiency investments to private investors, and in helping to directly leverage their funds by offering loan guarantees. Its practice of offering technical assistance to help match up project with money is a valuable complement to this. We would recommend that the EIB concentrate considerable funds in this area, and also work with governments to help them establish the financing facilities referred to in the new Energy Efficiency Directive. Such facilities can help join up a number of ‘dots’: aggregating numerous sources of public finance (e.g. ETS revenues, funds flowing from the new energy company obligation schemes </w:t>
      </w:r>
      <w:proofErr w:type="spellStart"/>
      <w:r w:rsidRPr="00346690">
        <w:rPr>
          <w:rFonts w:asciiTheme="majorHAnsi" w:hAnsiTheme="majorHAnsi"/>
          <w:sz w:val="22"/>
          <w:szCs w:val="22"/>
          <w:lang w:val="en-GB"/>
        </w:rPr>
        <w:t>forseen</w:t>
      </w:r>
      <w:proofErr w:type="spellEnd"/>
      <w:r w:rsidRPr="00346690">
        <w:rPr>
          <w:rFonts w:asciiTheme="majorHAnsi" w:hAnsiTheme="majorHAnsi"/>
          <w:sz w:val="22"/>
          <w:szCs w:val="22"/>
          <w:lang w:val="en-GB"/>
        </w:rPr>
        <w:t xml:space="preserve"> by the EED, structural funds, </w:t>
      </w:r>
      <w:proofErr w:type="spellStart"/>
      <w:r w:rsidRPr="00346690">
        <w:rPr>
          <w:rFonts w:asciiTheme="majorHAnsi" w:hAnsiTheme="majorHAnsi"/>
          <w:sz w:val="22"/>
          <w:szCs w:val="22"/>
          <w:lang w:val="en-GB"/>
        </w:rPr>
        <w:t>etc</w:t>
      </w:r>
      <w:proofErr w:type="spellEnd"/>
      <w:r w:rsidRPr="00346690">
        <w:rPr>
          <w:rFonts w:asciiTheme="majorHAnsi" w:hAnsiTheme="majorHAnsi"/>
          <w:sz w:val="22"/>
          <w:szCs w:val="22"/>
          <w:lang w:val="en-GB"/>
        </w:rPr>
        <w:t xml:space="preserve">); using these to leverage private funds; aggregating efficiency opportunities into bankable projects, and linking these up with funds. As such these facilities could serve as a ‘one stop shop’ for both customers and efficiency service providers. </w:t>
      </w:r>
    </w:p>
    <w:p w14:paraId="1AA9C6E6" w14:textId="77777777" w:rsidR="00346690" w:rsidRPr="00346690" w:rsidRDefault="00346690" w:rsidP="00346690">
      <w:pPr>
        <w:jc w:val="both"/>
        <w:rPr>
          <w:rFonts w:asciiTheme="majorHAnsi" w:hAnsiTheme="majorHAnsi"/>
          <w:sz w:val="22"/>
          <w:szCs w:val="22"/>
          <w:lang w:val="en-GB"/>
        </w:rPr>
      </w:pPr>
    </w:p>
    <w:p w14:paraId="7E401787" w14:textId="77777777" w:rsidR="00346690" w:rsidRPr="00346690" w:rsidRDefault="00346690" w:rsidP="00346690">
      <w:pPr>
        <w:jc w:val="both"/>
        <w:rPr>
          <w:rFonts w:asciiTheme="majorHAnsi" w:hAnsiTheme="majorHAnsi"/>
          <w:sz w:val="22"/>
          <w:szCs w:val="22"/>
          <w:lang w:val="en-GB"/>
        </w:rPr>
      </w:pPr>
      <w:r w:rsidRPr="00346690">
        <w:rPr>
          <w:rFonts w:asciiTheme="majorHAnsi" w:hAnsiTheme="majorHAnsi"/>
          <w:sz w:val="22"/>
          <w:szCs w:val="22"/>
          <w:lang w:val="en-GB"/>
        </w:rPr>
        <w:t xml:space="preserve">The manifold nature of the barriers to energy efficiency (from both consumer and investor perspective) means that concerted policy interventions are needed to address the issues simultaneously. For example, rolling out a successful programme of building renovations in a particular area will require ways to be found to create consumer demand - which will mean raising the awareness and interest of householders about the potential and interest of carrying out such work, including offering appropriate incentives to overcome inertia related to hassle and opportunity costs. The above approach will need to be taken to provide upfront capital flows and match them up with aggregated projects. Meanwhile it will be necessary to interest and train the workforce to an appropriate level, offer certification of the work done, and ensure that all this is done with a sequencing that will ensure the supply chain is built up as necessary. </w:t>
      </w:r>
    </w:p>
    <w:p w14:paraId="7BD39C29" w14:textId="77777777" w:rsidR="00346690" w:rsidRPr="00346690" w:rsidRDefault="00346690" w:rsidP="00346690">
      <w:pPr>
        <w:jc w:val="both"/>
        <w:rPr>
          <w:rFonts w:asciiTheme="majorHAnsi" w:hAnsiTheme="majorHAnsi"/>
          <w:sz w:val="22"/>
          <w:szCs w:val="22"/>
          <w:lang w:val="en-GB"/>
        </w:rPr>
      </w:pPr>
    </w:p>
    <w:p w14:paraId="001AD67F" w14:textId="77777777" w:rsidR="00346690" w:rsidRPr="00346690" w:rsidRDefault="00346690" w:rsidP="00346690">
      <w:pPr>
        <w:jc w:val="both"/>
        <w:rPr>
          <w:rFonts w:asciiTheme="majorHAnsi" w:hAnsiTheme="majorHAnsi"/>
          <w:sz w:val="22"/>
          <w:szCs w:val="22"/>
          <w:lang w:val="en-GB"/>
        </w:rPr>
      </w:pPr>
      <w:r w:rsidRPr="00346690">
        <w:rPr>
          <w:rFonts w:asciiTheme="majorHAnsi" w:hAnsiTheme="majorHAnsi"/>
          <w:sz w:val="22"/>
          <w:szCs w:val="22"/>
          <w:lang w:val="en-GB"/>
        </w:rPr>
        <w:t xml:space="preserve">None of this is impossible, but finding the right combination of solutions and putting them in place with right sequencing is potentially complex. In practice this has tended to cause governments or </w:t>
      </w:r>
      <w:proofErr w:type="gramStart"/>
      <w:r w:rsidRPr="00346690">
        <w:rPr>
          <w:rFonts w:asciiTheme="majorHAnsi" w:hAnsiTheme="majorHAnsi"/>
          <w:sz w:val="22"/>
          <w:szCs w:val="22"/>
          <w:lang w:val="en-GB"/>
        </w:rPr>
        <w:t>their</w:t>
      </w:r>
      <w:proofErr w:type="gramEnd"/>
      <w:r w:rsidRPr="00346690">
        <w:rPr>
          <w:rFonts w:asciiTheme="majorHAnsi" w:hAnsiTheme="majorHAnsi"/>
          <w:sz w:val="22"/>
          <w:szCs w:val="22"/>
          <w:lang w:val="en-GB"/>
        </w:rPr>
        <w:t xml:space="preserve"> relevant implementing agencies to shy away from developing such comprehensive strategies (or if they have tried, often they have not fully succeeded). </w:t>
      </w:r>
    </w:p>
    <w:p w14:paraId="20A37485" w14:textId="77777777" w:rsidR="00346690" w:rsidRPr="00346690" w:rsidRDefault="00346690" w:rsidP="00346690">
      <w:pPr>
        <w:jc w:val="both"/>
        <w:rPr>
          <w:rFonts w:asciiTheme="majorHAnsi" w:hAnsiTheme="majorHAnsi"/>
          <w:sz w:val="22"/>
          <w:szCs w:val="22"/>
          <w:lang w:val="en-GB"/>
        </w:rPr>
      </w:pPr>
    </w:p>
    <w:p w14:paraId="39B9D681" w14:textId="77777777" w:rsidR="00346690" w:rsidRPr="00346690" w:rsidRDefault="00346690" w:rsidP="00346690">
      <w:pPr>
        <w:jc w:val="both"/>
        <w:rPr>
          <w:rFonts w:asciiTheme="majorHAnsi" w:hAnsiTheme="majorHAnsi"/>
          <w:sz w:val="22"/>
          <w:szCs w:val="22"/>
          <w:lang w:val="en-GB"/>
        </w:rPr>
      </w:pPr>
      <w:r w:rsidRPr="00346690">
        <w:rPr>
          <w:rFonts w:asciiTheme="majorHAnsi" w:hAnsiTheme="majorHAnsi"/>
          <w:sz w:val="22"/>
          <w:szCs w:val="22"/>
          <w:lang w:val="en-GB"/>
        </w:rPr>
        <w:t xml:space="preserve">This is why CAN-Europe strongly recommends the establishment of binding targets for energy savings: both as an overall policy goal, and specifically for building renovations. Targets by themselves are not a magic solution, but they do provide compulsion, political focus – and also certainty for investors. With these in place governments may start to make better use of the burgeoning body of evidence on good practice and effective policy intervention to start putting in place programmes to comprehensively address the barriers to potentially great gains offered by energy efficiency. </w:t>
      </w:r>
    </w:p>
    <w:p w14:paraId="2966DFF7" w14:textId="77777777" w:rsidR="00346690" w:rsidRPr="00346690" w:rsidRDefault="00346690" w:rsidP="00346690">
      <w:pPr>
        <w:jc w:val="both"/>
        <w:rPr>
          <w:rFonts w:asciiTheme="majorHAnsi" w:hAnsiTheme="majorHAnsi"/>
          <w:sz w:val="22"/>
          <w:szCs w:val="22"/>
          <w:lang w:val="en-GB"/>
        </w:rPr>
      </w:pPr>
    </w:p>
    <w:p w14:paraId="37EEF8CA" w14:textId="2B1595A8" w:rsidR="00346690" w:rsidRPr="00346690" w:rsidRDefault="00346690" w:rsidP="00346690">
      <w:pPr>
        <w:jc w:val="both"/>
        <w:rPr>
          <w:rFonts w:asciiTheme="majorHAnsi" w:hAnsiTheme="majorHAnsi"/>
          <w:b/>
          <w:color w:val="2D3F90"/>
          <w:sz w:val="22"/>
          <w:szCs w:val="22"/>
          <w:lang w:val="en-GB"/>
        </w:rPr>
      </w:pPr>
      <w:r w:rsidRPr="00346690">
        <w:rPr>
          <w:rFonts w:asciiTheme="majorHAnsi" w:hAnsiTheme="majorHAnsi"/>
          <w:b/>
          <w:color w:val="2D3F90"/>
          <w:sz w:val="22"/>
          <w:szCs w:val="22"/>
          <w:lang w:val="en-GB"/>
        </w:rPr>
        <w:t>What role can Energy Service Companies (ESCOs) play in developing energy efficiency investments?</w:t>
      </w:r>
    </w:p>
    <w:p w14:paraId="65CB38A5" w14:textId="77777777" w:rsidR="00346690" w:rsidRPr="00346690" w:rsidRDefault="00346690" w:rsidP="00346690">
      <w:pPr>
        <w:jc w:val="both"/>
        <w:rPr>
          <w:rFonts w:asciiTheme="majorHAnsi" w:hAnsiTheme="majorHAnsi"/>
          <w:b/>
          <w:color w:val="2D3F90"/>
          <w:sz w:val="22"/>
          <w:szCs w:val="22"/>
          <w:lang w:val="en-GB"/>
        </w:rPr>
      </w:pPr>
    </w:p>
    <w:p w14:paraId="4048F4EC" w14:textId="77777777" w:rsidR="00346690" w:rsidRPr="00346690" w:rsidRDefault="00346690" w:rsidP="00346690">
      <w:pPr>
        <w:jc w:val="both"/>
        <w:rPr>
          <w:rFonts w:asciiTheme="majorHAnsi" w:hAnsiTheme="majorHAnsi"/>
          <w:sz w:val="22"/>
          <w:szCs w:val="22"/>
          <w:lang w:val="en-GB"/>
        </w:rPr>
      </w:pPr>
      <w:r w:rsidRPr="00346690">
        <w:rPr>
          <w:rFonts w:asciiTheme="majorHAnsi" w:hAnsiTheme="majorHAnsi"/>
          <w:sz w:val="22"/>
          <w:szCs w:val="22"/>
          <w:lang w:val="en-GB"/>
        </w:rPr>
        <w:t xml:space="preserve">ESCOs can play a valuable role in delivering energy efficiency services. They offer expertise in energy management systems and services, and potentially a win-win business model that can overcome the problems of upfront finance and consumer inertia. For example, if an Energy Performance Contracts is used then in principle a small business owner will be able to receive efficiency improvements to his enterprise without needing to provide the upfront finance from his own assets. The capital, which was put up either by the ESCO itself or by a third party financer, will be repaid from the savings on his energy bills – but at a rate which means he still pays out a lower amount each month than he did previously. Thus, he will then enjoy the increased comfort and functionality which result from the efficiency improvements, as well as financial savings, even as the provider of the finance gets their money </w:t>
      </w:r>
      <w:proofErr w:type="spellStart"/>
      <w:r w:rsidRPr="00346690">
        <w:rPr>
          <w:rFonts w:asciiTheme="majorHAnsi" w:hAnsiTheme="majorHAnsi"/>
          <w:sz w:val="22"/>
          <w:szCs w:val="22"/>
          <w:lang w:val="en-GB"/>
        </w:rPr>
        <w:t>bac</w:t>
      </w:r>
      <w:proofErr w:type="spellEnd"/>
      <w:r w:rsidRPr="00346690">
        <w:rPr>
          <w:rFonts w:asciiTheme="majorHAnsi" w:hAnsiTheme="majorHAnsi"/>
          <w:sz w:val="22"/>
          <w:szCs w:val="22"/>
          <w:lang w:val="en-GB"/>
        </w:rPr>
        <w:t xml:space="preserve">, probably at a profit. </w:t>
      </w:r>
    </w:p>
    <w:p w14:paraId="49E8D98D" w14:textId="77777777" w:rsidR="00346690" w:rsidRPr="00346690" w:rsidRDefault="00346690" w:rsidP="00346690">
      <w:pPr>
        <w:jc w:val="both"/>
        <w:rPr>
          <w:rFonts w:asciiTheme="majorHAnsi" w:hAnsiTheme="majorHAnsi"/>
          <w:sz w:val="22"/>
          <w:szCs w:val="22"/>
          <w:lang w:val="en-GB"/>
        </w:rPr>
      </w:pPr>
    </w:p>
    <w:p w14:paraId="04EECB92" w14:textId="77777777" w:rsidR="00346690" w:rsidRPr="00346690" w:rsidRDefault="00346690" w:rsidP="00346690">
      <w:pPr>
        <w:jc w:val="both"/>
        <w:rPr>
          <w:rFonts w:asciiTheme="majorHAnsi" w:hAnsiTheme="majorHAnsi"/>
          <w:sz w:val="22"/>
          <w:szCs w:val="22"/>
          <w:lang w:val="en-GB"/>
        </w:rPr>
      </w:pPr>
      <w:r w:rsidRPr="00346690">
        <w:rPr>
          <w:rFonts w:asciiTheme="majorHAnsi" w:hAnsiTheme="majorHAnsi"/>
          <w:sz w:val="22"/>
          <w:szCs w:val="22"/>
          <w:lang w:val="en-GB"/>
        </w:rPr>
        <w:t xml:space="preserve">This is the theory; however it should be noted that a majority of functional ESCOs in both the US and EU market have tended to concentrate on large, public sector projects – which offer scale, certainty of long-term ownership, and the possibility of self-finance of the upfront investment (even where ESCOs have the possibility to do this from their own funds, they will tend to prefer not to do so). In order for ESCOs to play more of a role in delivering private and smaller-scale projects, more ready availability of third party financing and / or means of aggregating individual projects will need to be found. As outlined above the EIB could play a helpful role here, both through direct loans and through supporting governments (financially and technically) to establish effective, multi-tasking financing facilities. </w:t>
      </w:r>
    </w:p>
    <w:p w14:paraId="58044F3E" w14:textId="77777777" w:rsidR="00346690" w:rsidRPr="00346690" w:rsidRDefault="00346690" w:rsidP="00346690">
      <w:pPr>
        <w:jc w:val="both"/>
        <w:rPr>
          <w:rFonts w:asciiTheme="majorHAnsi" w:hAnsiTheme="majorHAnsi"/>
          <w:b/>
          <w:color w:val="2D3F90"/>
          <w:sz w:val="22"/>
          <w:szCs w:val="22"/>
          <w:lang w:val="en-GB"/>
        </w:rPr>
      </w:pPr>
    </w:p>
    <w:p w14:paraId="3860E7FF" w14:textId="77777777" w:rsidR="00346690" w:rsidRPr="00346690" w:rsidRDefault="00346690" w:rsidP="00346690">
      <w:pPr>
        <w:jc w:val="both"/>
        <w:rPr>
          <w:rFonts w:asciiTheme="majorHAnsi" w:hAnsiTheme="majorHAnsi"/>
          <w:b/>
          <w:color w:val="2D3F90"/>
          <w:sz w:val="22"/>
          <w:szCs w:val="22"/>
          <w:lang w:val="en-GB"/>
        </w:rPr>
      </w:pPr>
      <w:r w:rsidRPr="00346690">
        <w:rPr>
          <w:rFonts w:asciiTheme="majorHAnsi" w:hAnsiTheme="majorHAnsi"/>
          <w:b/>
          <w:color w:val="2D3F90"/>
          <w:sz w:val="22"/>
          <w:szCs w:val="22"/>
          <w:lang w:val="en-GB"/>
        </w:rPr>
        <w:t>What is the potential for energy efficiency outside Europe?</w:t>
      </w:r>
    </w:p>
    <w:p w14:paraId="78B0FFBE" w14:textId="77777777" w:rsidR="00346690" w:rsidRPr="00346690" w:rsidRDefault="00346690" w:rsidP="00346690">
      <w:pPr>
        <w:jc w:val="both"/>
        <w:rPr>
          <w:rFonts w:asciiTheme="majorHAnsi" w:hAnsiTheme="majorHAnsi"/>
          <w:b/>
          <w:color w:val="2D3F90"/>
          <w:sz w:val="22"/>
          <w:szCs w:val="22"/>
          <w:lang w:val="en-GB"/>
        </w:rPr>
      </w:pPr>
      <w:r w:rsidRPr="00346690">
        <w:rPr>
          <w:rFonts w:asciiTheme="majorHAnsi" w:hAnsiTheme="majorHAnsi"/>
          <w:b/>
          <w:color w:val="2D3F90"/>
          <w:sz w:val="22"/>
          <w:szCs w:val="22"/>
          <w:lang w:val="en-GB"/>
        </w:rPr>
        <w:t xml:space="preserve">Do you consider the criteria used by the Bank to categorise projects as Energy </w:t>
      </w:r>
    </w:p>
    <w:p w14:paraId="3950219F" w14:textId="77777777" w:rsidR="00346690" w:rsidRPr="00346690" w:rsidRDefault="00346690" w:rsidP="00346690">
      <w:pPr>
        <w:jc w:val="both"/>
        <w:rPr>
          <w:rFonts w:asciiTheme="majorHAnsi" w:hAnsiTheme="majorHAnsi"/>
          <w:b/>
          <w:color w:val="2D3F90"/>
          <w:sz w:val="22"/>
          <w:szCs w:val="22"/>
          <w:lang w:val="en-GB"/>
        </w:rPr>
      </w:pPr>
      <w:proofErr w:type="gramStart"/>
      <w:r w:rsidRPr="00346690">
        <w:rPr>
          <w:rFonts w:asciiTheme="majorHAnsi" w:hAnsiTheme="majorHAnsi"/>
          <w:b/>
          <w:color w:val="2D3F90"/>
          <w:sz w:val="22"/>
          <w:szCs w:val="22"/>
          <w:lang w:val="en-GB"/>
        </w:rPr>
        <w:t>Efficiency projects appropriate (see Annex 1)?</w:t>
      </w:r>
      <w:proofErr w:type="gramEnd"/>
      <w:r w:rsidRPr="00346690">
        <w:rPr>
          <w:rFonts w:asciiTheme="majorHAnsi" w:hAnsiTheme="majorHAnsi"/>
          <w:b/>
          <w:color w:val="2D3F90"/>
          <w:sz w:val="22"/>
          <w:szCs w:val="22"/>
          <w:lang w:val="en-GB"/>
        </w:rPr>
        <w:t xml:space="preserve"> What alternative would you propose?</w:t>
      </w:r>
    </w:p>
    <w:p w14:paraId="5226A581" w14:textId="77777777" w:rsidR="00346690" w:rsidRPr="00346690" w:rsidRDefault="00346690" w:rsidP="00346690">
      <w:pPr>
        <w:jc w:val="both"/>
        <w:rPr>
          <w:rFonts w:asciiTheme="majorHAnsi" w:hAnsiTheme="majorHAnsi"/>
          <w:b/>
          <w:color w:val="2D3F90"/>
          <w:sz w:val="22"/>
          <w:szCs w:val="22"/>
          <w:lang w:val="en-GB"/>
        </w:rPr>
      </w:pPr>
    </w:p>
    <w:p w14:paraId="2FA8306A" w14:textId="77777777" w:rsidR="00346690" w:rsidRPr="00346690" w:rsidRDefault="00346690" w:rsidP="00346690">
      <w:pPr>
        <w:jc w:val="both"/>
        <w:rPr>
          <w:rFonts w:asciiTheme="majorHAnsi" w:hAnsiTheme="majorHAnsi"/>
          <w:sz w:val="22"/>
          <w:szCs w:val="22"/>
          <w:lang w:val="en-GB"/>
        </w:rPr>
      </w:pPr>
      <w:r w:rsidRPr="00346690">
        <w:rPr>
          <w:rFonts w:asciiTheme="majorHAnsi" w:hAnsiTheme="majorHAnsi"/>
          <w:sz w:val="22"/>
          <w:szCs w:val="22"/>
          <w:lang w:val="en-GB"/>
        </w:rPr>
        <w:t>The Bank’s current criteria are a) that projects must be able to demonstrate they will reduce energy consumption by at least 20% compared to pre-implementation levels, or b) ensure that energy savings from the project cover at least 50% of the investment cost over the project’s lifetime.</w:t>
      </w:r>
    </w:p>
    <w:p w14:paraId="62561139" w14:textId="77777777" w:rsidR="00346690" w:rsidRPr="00346690" w:rsidRDefault="00346690" w:rsidP="00346690">
      <w:pPr>
        <w:jc w:val="both"/>
        <w:rPr>
          <w:rFonts w:asciiTheme="majorHAnsi" w:hAnsiTheme="majorHAnsi"/>
          <w:sz w:val="22"/>
          <w:szCs w:val="22"/>
          <w:lang w:val="en-GB"/>
        </w:rPr>
      </w:pPr>
    </w:p>
    <w:p w14:paraId="1ADF92D3" w14:textId="77777777" w:rsidR="00346690" w:rsidRPr="00346690" w:rsidRDefault="00346690" w:rsidP="00346690">
      <w:pPr>
        <w:jc w:val="both"/>
        <w:rPr>
          <w:rFonts w:asciiTheme="majorHAnsi" w:hAnsiTheme="majorHAnsi"/>
          <w:sz w:val="22"/>
          <w:szCs w:val="22"/>
          <w:lang w:val="en-GB"/>
        </w:rPr>
      </w:pPr>
      <w:r w:rsidRPr="00346690">
        <w:rPr>
          <w:rFonts w:asciiTheme="majorHAnsi" w:hAnsiTheme="majorHAnsi"/>
          <w:sz w:val="22"/>
          <w:szCs w:val="22"/>
          <w:lang w:val="en-GB"/>
        </w:rPr>
        <w:t xml:space="preserve">Until now the project pipeline for efficiency projects has been quite weak. It is therefore understandable that efficiency projects currently receive only about a third of the volume of lending that renewable energy projects do. However in view of the substantial investment needed to tap the available efficiency potential (and the importance of doing so for reasons of sustainability, competitiveness and security of supply) the volume of lending needs to increase. </w:t>
      </w:r>
    </w:p>
    <w:p w14:paraId="0E105756" w14:textId="77777777" w:rsidR="00346690" w:rsidRPr="00346690" w:rsidRDefault="00346690" w:rsidP="00346690">
      <w:pPr>
        <w:jc w:val="both"/>
        <w:rPr>
          <w:rFonts w:asciiTheme="majorHAnsi" w:hAnsiTheme="majorHAnsi"/>
          <w:sz w:val="22"/>
          <w:szCs w:val="22"/>
          <w:lang w:val="en-GB"/>
        </w:rPr>
      </w:pPr>
    </w:p>
    <w:p w14:paraId="23F337F0" w14:textId="77777777" w:rsidR="00346690" w:rsidRPr="00346690" w:rsidRDefault="00346690" w:rsidP="00346690">
      <w:pPr>
        <w:jc w:val="both"/>
        <w:rPr>
          <w:rFonts w:asciiTheme="majorHAnsi" w:hAnsiTheme="majorHAnsi"/>
          <w:sz w:val="22"/>
          <w:szCs w:val="22"/>
          <w:lang w:val="en-GB"/>
        </w:rPr>
      </w:pPr>
      <w:r w:rsidRPr="00346690">
        <w:rPr>
          <w:rFonts w:asciiTheme="majorHAnsi" w:hAnsiTheme="majorHAnsi"/>
          <w:sz w:val="22"/>
          <w:szCs w:val="22"/>
          <w:lang w:val="en-GB"/>
        </w:rPr>
        <w:t xml:space="preserve">There are reasons to expect that the project pipeline will improve, notably an increased focus by governments on energy savings (and on mobilising financing) thanks to the new Energy Efficiency Directive and an expected continued emphasis on energy savings moving forward to 2030. More financing should be forthcoming through the structural funds, ETS revenues and revenues from energy company obligation schemes. Rising energy prices can also be expected to increase interest in savings measures. However, the EIB can also play an important role in facilitating this project pipeline, including as mentioned above in supporting governments in ‘organising’ and improving the links between public and private sources of finance, projects, service providers and customers. The level of direct loans provided by the EIB should also increase. </w:t>
      </w:r>
    </w:p>
    <w:p w14:paraId="44B5C6C8" w14:textId="77777777" w:rsidR="00346690" w:rsidRPr="00346690" w:rsidRDefault="00346690" w:rsidP="00346690">
      <w:pPr>
        <w:jc w:val="both"/>
        <w:rPr>
          <w:rFonts w:asciiTheme="majorHAnsi" w:hAnsiTheme="majorHAnsi"/>
          <w:sz w:val="22"/>
          <w:szCs w:val="22"/>
          <w:lang w:val="en-GB"/>
        </w:rPr>
      </w:pPr>
    </w:p>
    <w:p w14:paraId="0C97C345" w14:textId="77777777" w:rsidR="00346690" w:rsidRPr="00346690" w:rsidRDefault="00346690" w:rsidP="00346690">
      <w:pPr>
        <w:jc w:val="both"/>
        <w:rPr>
          <w:rFonts w:asciiTheme="majorHAnsi" w:hAnsiTheme="majorHAnsi"/>
          <w:sz w:val="22"/>
          <w:szCs w:val="22"/>
          <w:lang w:val="en-GB"/>
        </w:rPr>
      </w:pPr>
      <w:r w:rsidRPr="00346690">
        <w:rPr>
          <w:rFonts w:asciiTheme="majorHAnsi" w:hAnsiTheme="majorHAnsi"/>
          <w:sz w:val="22"/>
          <w:szCs w:val="22"/>
          <w:lang w:val="en-GB"/>
        </w:rPr>
        <w:t xml:space="preserve">Until such time as the project pipeline is better established, and efficiency can still be seen as somewhat of a ‘developing market’, the current criteria seem reasonable – with the caveat that unabated coal and lignite plant projects (including CHP) should be excluded entirely, due to the risk of high carbon lock-in. A review should also be built in so that the criteria can be made more stringent once a stronger pipeline develops (e.g. once all available structural funds are being used and indeed competed for), so that EIB loans are prioritised towards projects that will generate savings well beyond 20% and serve a strong public interest. </w:t>
      </w:r>
    </w:p>
    <w:p w14:paraId="54A86343" w14:textId="77777777" w:rsidR="00905BC1" w:rsidRPr="00905BC1" w:rsidRDefault="00905BC1" w:rsidP="00905BC1">
      <w:pPr>
        <w:jc w:val="both"/>
        <w:rPr>
          <w:rFonts w:asciiTheme="majorHAnsi" w:hAnsiTheme="majorHAnsi"/>
          <w:b/>
          <w:color w:val="2D3F90"/>
          <w:sz w:val="22"/>
          <w:szCs w:val="22"/>
          <w:lang w:val="en-GB"/>
        </w:rPr>
      </w:pPr>
    </w:p>
    <w:p w14:paraId="5AF4E18C" w14:textId="77777777" w:rsidR="00905BC1" w:rsidRPr="00905BC1" w:rsidRDefault="00905BC1" w:rsidP="00905BC1">
      <w:pPr>
        <w:jc w:val="both"/>
        <w:rPr>
          <w:rFonts w:asciiTheme="majorHAnsi" w:hAnsiTheme="majorHAnsi"/>
          <w:b/>
          <w:color w:val="2D3F90"/>
          <w:sz w:val="22"/>
          <w:szCs w:val="22"/>
          <w:lang w:val="en-GB"/>
        </w:rPr>
      </w:pPr>
    </w:p>
    <w:p w14:paraId="1098C2B3" w14:textId="77777777" w:rsidR="00905BC1" w:rsidRPr="00905BC1" w:rsidRDefault="00905BC1" w:rsidP="00905BC1">
      <w:pPr>
        <w:jc w:val="both"/>
        <w:rPr>
          <w:rFonts w:asciiTheme="majorHAnsi" w:hAnsiTheme="majorHAnsi"/>
          <w:b/>
          <w:color w:val="2D3F90"/>
          <w:sz w:val="22"/>
          <w:szCs w:val="22"/>
          <w:lang w:val="en-GB"/>
        </w:rPr>
      </w:pPr>
    </w:p>
    <w:p w14:paraId="4F7214E2" w14:textId="77777777" w:rsidR="00905BC1" w:rsidRPr="00905BC1" w:rsidRDefault="00905BC1" w:rsidP="00905BC1">
      <w:pPr>
        <w:jc w:val="both"/>
        <w:rPr>
          <w:rFonts w:asciiTheme="majorHAnsi" w:hAnsiTheme="majorHAnsi"/>
          <w:b/>
          <w:color w:val="2D3F90"/>
          <w:sz w:val="22"/>
          <w:szCs w:val="22"/>
          <w:lang w:val="en-GB"/>
        </w:rPr>
      </w:pPr>
    </w:p>
    <w:p w14:paraId="70C5B16B" w14:textId="77777777" w:rsidR="00905BC1" w:rsidRPr="00905BC1" w:rsidRDefault="00905BC1" w:rsidP="00905BC1">
      <w:pPr>
        <w:jc w:val="both"/>
        <w:rPr>
          <w:rFonts w:asciiTheme="majorHAnsi" w:hAnsiTheme="majorHAnsi"/>
          <w:b/>
          <w:color w:val="2D3F90"/>
          <w:sz w:val="22"/>
          <w:szCs w:val="22"/>
          <w:lang w:val="en-GB"/>
        </w:rPr>
      </w:pPr>
    </w:p>
    <w:p w14:paraId="51A95092" w14:textId="77777777" w:rsidR="00346690" w:rsidRDefault="00346690" w:rsidP="00905BC1">
      <w:pPr>
        <w:jc w:val="both"/>
        <w:rPr>
          <w:rFonts w:asciiTheme="majorHAnsi" w:hAnsiTheme="majorHAnsi"/>
          <w:b/>
          <w:color w:val="2D3F90"/>
          <w:sz w:val="22"/>
          <w:szCs w:val="22"/>
        </w:rPr>
      </w:pPr>
    </w:p>
    <w:p w14:paraId="6784DC1C" w14:textId="77777777" w:rsidR="00346690" w:rsidRDefault="00346690" w:rsidP="00905BC1">
      <w:pPr>
        <w:jc w:val="both"/>
        <w:rPr>
          <w:rFonts w:asciiTheme="majorHAnsi" w:hAnsiTheme="majorHAnsi"/>
          <w:b/>
          <w:color w:val="2D3F90"/>
          <w:sz w:val="22"/>
          <w:szCs w:val="22"/>
        </w:rPr>
      </w:pPr>
    </w:p>
    <w:p w14:paraId="6EFD0DAA" w14:textId="77777777" w:rsidR="00346690" w:rsidRDefault="00346690" w:rsidP="00905BC1">
      <w:pPr>
        <w:jc w:val="both"/>
        <w:rPr>
          <w:rFonts w:asciiTheme="majorHAnsi" w:hAnsiTheme="majorHAnsi"/>
          <w:b/>
          <w:color w:val="2D3F90"/>
          <w:sz w:val="22"/>
          <w:szCs w:val="22"/>
        </w:rPr>
      </w:pPr>
    </w:p>
    <w:p w14:paraId="7D021762" w14:textId="77777777" w:rsidR="00346690" w:rsidRDefault="00346690" w:rsidP="00905BC1">
      <w:pPr>
        <w:jc w:val="both"/>
        <w:rPr>
          <w:rFonts w:asciiTheme="majorHAnsi" w:hAnsiTheme="majorHAnsi"/>
          <w:b/>
          <w:color w:val="2D3F90"/>
          <w:sz w:val="22"/>
          <w:szCs w:val="22"/>
        </w:rPr>
      </w:pPr>
    </w:p>
    <w:p w14:paraId="544808B4" w14:textId="77777777" w:rsidR="00346690" w:rsidRDefault="00346690" w:rsidP="00905BC1">
      <w:pPr>
        <w:jc w:val="both"/>
        <w:rPr>
          <w:rFonts w:asciiTheme="majorHAnsi" w:hAnsiTheme="majorHAnsi"/>
          <w:b/>
          <w:color w:val="2D3F90"/>
          <w:sz w:val="22"/>
          <w:szCs w:val="22"/>
        </w:rPr>
      </w:pPr>
    </w:p>
    <w:p w14:paraId="6A82D634" w14:textId="77777777" w:rsidR="00346690" w:rsidRDefault="00346690" w:rsidP="00905BC1">
      <w:pPr>
        <w:jc w:val="both"/>
        <w:rPr>
          <w:rFonts w:asciiTheme="majorHAnsi" w:hAnsiTheme="majorHAnsi"/>
          <w:b/>
          <w:color w:val="2D3F90"/>
          <w:sz w:val="22"/>
          <w:szCs w:val="22"/>
        </w:rPr>
      </w:pPr>
    </w:p>
    <w:p w14:paraId="3860698D" w14:textId="77777777" w:rsidR="00346690" w:rsidRDefault="00346690" w:rsidP="00905BC1">
      <w:pPr>
        <w:jc w:val="both"/>
        <w:rPr>
          <w:rFonts w:asciiTheme="majorHAnsi" w:hAnsiTheme="majorHAnsi"/>
          <w:b/>
          <w:color w:val="2D3F90"/>
          <w:sz w:val="22"/>
          <w:szCs w:val="22"/>
        </w:rPr>
      </w:pPr>
    </w:p>
    <w:p w14:paraId="65BE05D6" w14:textId="77777777" w:rsidR="00346690" w:rsidRDefault="00346690" w:rsidP="00905BC1">
      <w:pPr>
        <w:jc w:val="both"/>
        <w:rPr>
          <w:rFonts w:asciiTheme="majorHAnsi" w:hAnsiTheme="majorHAnsi"/>
          <w:b/>
          <w:color w:val="2D3F90"/>
          <w:sz w:val="22"/>
          <w:szCs w:val="22"/>
        </w:rPr>
      </w:pPr>
    </w:p>
    <w:p w14:paraId="45F2C4C0" w14:textId="77777777" w:rsidR="00346690" w:rsidRDefault="00346690" w:rsidP="00905BC1">
      <w:pPr>
        <w:jc w:val="both"/>
        <w:rPr>
          <w:rFonts w:asciiTheme="majorHAnsi" w:hAnsiTheme="majorHAnsi"/>
          <w:b/>
          <w:color w:val="2D3F90"/>
          <w:sz w:val="22"/>
          <w:szCs w:val="22"/>
        </w:rPr>
      </w:pPr>
    </w:p>
    <w:p w14:paraId="0D72C3B5" w14:textId="77777777" w:rsidR="00346690" w:rsidRDefault="00346690" w:rsidP="00905BC1">
      <w:pPr>
        <w:jc w:val="both"/>
        <w:rPr>
          <w:rFonts w:asciiTheme="majorHAnsi" w:hAnsiTheme="majorHAnsi"/>
          <w:b/>
          <w:color w:val="2D3F90"/>
          <w:sz w:val="22"/>
          <w:szCs w:val="22"/>
        </w:rPr>
      </w:pPr>
    </w:p>
    <w:p w14:paraId="06CAB4F3" w14:textId="77777777" w:rsidR="00346690" w:rsidRDefault="00346690" w:rsidP="00905BC1">
      <w:pPr>
        <w:jc w:val="both"/>
        <w:rPr>
          <w:rFonts w:asciiTheme="majorHAnsi" w:hAnsiTheme="majorHAnsi"/>
          <w:b/>
          <w:color w:val="2D3F90"/>
          <w:sz w:val="22"/>
          <w:szCs w:val="22"/>
        </w:rPr>
      </w:pPr>
    </w:p>
    <w:p w14:paraId="298C789D" w14:textId="77777777" w:rsidR="00346690" w:rsidRDefault="00346690" w:rsidP="00905BC1">
      <w:pPr>
        <w:jc w:val="both"/>
        <w:rPr>
          <w:rFonts w:asciiTheme="majorHAnsi" w:hAnsiTheme="majorHAnsi"/>
          <w:b/>
          <w:color w:val="2D3F90"/>
          <w:sz w:val="22"/>
          <w:szCs w:val="22"/>
        </w:rPr>
      </w:pPr>
    </w:p>
    <w:p w14:paraId="0CFBEA91" w14:textId="77777777" w:rsidR="00346690" w:rsidRDefault="00346690" w:rsidP="00905BC1">
      <w:pPr>
        <w:jc w:val="both"/>
        <w:rPr>
          <w:rFonts w:asciiTheme="majorHAnsi" w:hAnsiTheme="majorHAnsi"/>
          <w:b/>
          <w:color w:val="2D3F90"/>
          <w:sz w:val="22"/>
          <w:szCs w:val="22"/>
        </w:rPr>
      </w:pPr>
    </w:p>
    <w:p w14:paraId="6B343D45" w14:textId="0D119767" w:rsidR="00905BC1" w:rsidRPr="00905BC1" w:rsidRDefault="00905BC1" w:rsidP="00905BC1">
      <w:pPr>
        <w:jc w:val="both"/>
        <w:rPr>
          <w:rFonts w:asciiTheme="majorHAnsi" w:hAnsiTheme="majorHAnsi"/>
          <w:b/>
          <w:bCs/>
          <w:color w:val="2D3F90"/>
          <w:sz w:val="22"/>
          <w:szCs w:val="22"/>
        </w:rPr>
      </w:pPr>
      <w:r>
        <w:rPr>
          <w:rFonts w:asciiTheme="majorHAnsi" w:hAnsiTheme="majorHAnsi"/>
          <w:b/>
          <w:color w:val="2D3F90"/>
          <w:sz w:val="22"/>
          <w:szCs w:val="22"/>
        </w:rPr>
        <w:t>Contact Information</w:t>
      </w:r>
    </w:p>
    <w:p w14:paraId="4E1F7361" w14:textId="77777777" w:rsidR="00905BC1" w:rsidRPr="00905BC1" w:rsidRDefault="00905BC1" w:rsidP="00905BC1">
      <w:pPr>
        <w:jc w:val="both"/>
        <w:rPr>
          <w:rFonts w:asciiTheme="majorHAnsi" w:hAnsiTheme="majorHAnsi"/>
          <w:b/>
          <w:bCs/>
          <w:color w:val="2D3F90"/>
          <w:sz w:val="22"/>
          <w:szCs w:val="22"/>
        </w:rPr>
      </w:pPr>
    </w:p>
    <w:p w14:paraId="6BD13E29" w14:textId="77777777" w:rsidR="00D84974" w:rsidRDefault="00905BC1" w:rsidP="00905BC1">
      <w:pPr>
        <w:jc w:val="both"/>
        <w:rPr>
          <w:rFonts w:asciiTheme="majorHAnsi" w:hAnsiTheme="majorHAnsi"/>
          <w:bCs/>
          <w:color w:val="2D3F90"/>
          <w:sz w:val="22"/>
          <w:szCs w:val="22"/>
        </w:rPr>
      </w:pPr>
      <w:r w:rsidRPr="00905BC1">
        <w:rPr>
          <w:rFonts w:asciiTheme="majorHAnsi" w:hAnsiTheme="majorHAnsi"/>
          <w:bCs/>
          <w:color w:val="2D3F90"/>
          <w:sz w:val="22"/>
          <w:szCs w:val="22"/>
        </w:rPr>
        <w:t xml:space="preserve">Daniel Fraile </w:t>
      </w:r>
      <w:proofErr w:type="spellStart"/>
      <w:r w:rsidRPr="00905BC1">
        <w:rPr>
          <w:rFonts w:asciiTheme="majorHAnsi" w:hAnsiTheme="majorHAnsi"/>
          <w:bCs/>
          <w:color w:val="2D3F90"/>
          <w:sz w:val="22"/>
          <w:szCs w:val="22"/>
        </w:rPr>
        <w:t>Montoro</w:t>
      </w:r>
      <w:proofErr w:type="spellEnd"/>
      <w:r w:rsidRPr="00905BC1">
        <w:rPr>
          <w:rFonts w:asciiTheme="majorHAnsi" w:hAnsiTheme="majorHAnsi"/>
          <w:bCs/>
          <w:color w:val="2D3F90"/>
          <w:sz w:val="22"/>
          <w:szCs w:val="22"/>
        </w:rPr>
        <w:t xml:space="preserve">, CAN Europe Senior Policy Officer on Energy </w:t>
      </w:r>
    </w:p>
    <w:p w14:paraId="2A370AFD" w14:textId="77777777" w:rsidR="00D84974" w:rsidRDefault="00905BC1" w:rsidP="00905BC1">
      <w:pPr>
        <w:jc w:val="both"/>
        <w:rPr>
          <w:rFonts w:asciiTheme="majorHAnsi" w:hAnsiTheme="majorHAnsi"/>
          <w:bCs/>
          <w:color w:val="2D3F90"/>
          <w:sz w:val="22"/>
          <w:szCs w:val="22"/>
        </w:rPr>
      </w:pPr>
      <w:r w:rsidRPr="00905BC1">
        <w:rPr>
          <w:rFonts w:asciiTheme="majorHAnsi" w:hAnsiTheme="majorHAnsi"/>
          <w:bCs/>
          <w:color w:val="2D3F90"/>
          <w:sz w:val="22"/>
          <w:szCs w:val="22"/>
        </w:rPr>
        <w:t xml:space="preserve">(32) 2894 46 72, </w:t>
      </w:r>
    </w:p>
    <w:p w14:paraId="4195BA66" w14:textId="77777777" w:rsidR="00D84974" w:rsidRDefault="00905BC1" w:rsidP="00905BC1">
      <w:pPr>
        <w:jc w:val="both"/>
        <w:rPr>
          <w:rFonts w:asciiTheme="majorHAnsi" w:hAnsiTheme="majorHAnsi"/>
          <w:bCs/>
          <w:color w:val="2D3F90"/>
          <w:sz w:val="22"/>
          <w:szCs w:val="22"/>
        </w:rPr>
      </w:pPr>
      <w:r w:rsidRPr="00905BC1">
        <w:rPr>
          <w:rFonts w:asciiTheme="majorHAnsi" w:hAnsiTheme="majorHAnsi"/>
          <w:bCs/>
          <w:color w:val="2D3F90"/>
          <w:sz w:val="22"/>
          <w:szCs w:val="22"/>
        </w:rPr>
        <w:t xml:space="preserve">(32) 495 128 573, </w:t>
      </w:r>
    </w:p>
    <w:p w14:paraId="279A3F0F" w14:textId="281CB1D3" w:rsidR="00905BC1" w:rsidRPr="00905BC1" w:rsidRDefault="00905BC1" w:rsidP="00905BC1">
      <w:pPr>
        <w:jc w:val="both"/>
        <w:rPr>
          <w:rFonts w:asciiTheme="majorHAnsi" w:hAnsiTheme="majorHAnsi"/>
          <w:color w:val="2D3F90"/>
          <w:sz w:val="22"/>
          <w:szCs w:val="22"/>
        </w:rPr>
      </w:pPr>
      <w:r w:rsidRPr="00905BC1">
        <w:rPr>
          <w:rFonts w:asciiTheme="majorHAnsi" w:hAnsiTheme="majorHAnsi"/>
          <w:bCs/>
          <w:color w:val="2D3F90"/>
          <w:sz w:val="22"/>
          <w:szCs w:val="22"/>
        </w:rPr>
        <w:t>daniel@caneurope.org</w:t>
      </w:r>
    </w:p>
    <w:p w14:paraId="6371EEB9" w14:textId="77777777" w:rsidR="00905BC1" w:rsidRPr="00905BC1" w:rsidRDefault="00905BC1" w:rsidP="00905BC1">
      <w:pPr>
        <w:jc w:val="both"/>
        <w:rPr>
          <w:rFonts w:asciiTheme="majorHAnsi" w:hAnsiTheme="majorHAnsi"/>
          <w:b/>
          <w:color w:val="2D3F90"/>
          <w:sz w:val="22"/>
          <w:szCs w:val="22"/>
          <w:lang w:val="en-GB"/>
        </w:rPr>
      </w:pPr>
    </w:p>
    <w:p w14:paraId="7861C9D4" w14:textId="77777777" w:rsidR="00BF649D" w:rsidRDefault="00BF649D" w:rsidP="00E018F5">
      <w:pPr>
        <w:rPr>
          <w:rFonts w:asciiTheme="majorHAnsi" w:hAnsiTheme="majorHAnsi"/>
          <w:bCs/>
          <w:color w:val="000090"/>
          <w:sz w:val="16"/>
          <w:szCs w:val="16"/>
        </w:rPr>
      </w:pPr>
    </w:p>
    <w:p w14:paraId="5A88C532" w14:textId="77777777" w:rsidR="00BF649D" w:rsidRDefault="00BF649D" w:rsidP="00E018F5">
      <w:pPr>
        <w:rPr>
          <w:rFonts w:asciiTheme="majorHAnsi" w:hAnsiTheme="majorHAnsi"/>
          <w:bCs/>
          <w:color w:val="000090"/>
          <w:sz w:val="16"/>
          <w:szCs w:val="16"/>
        </w:rPr>
      </w:pPr>
    </w:p>
    <w:p w14:paraId="4C0200AE" w14:textId="3424CFB6" w:rsidR="00BF649D" w:rsidRDefault="00BF649D" w:rsidP="00E018F5">
      <w:pPr>
        <w:rPr>
          <w:rFonts w:asciiTheme="majorHAnsi" w:hAnsiTheme="majorHAnsi"/>
          <w:bCs/>
          <w:color w:val="000090"/>
          <w:sz w:val="16"/>
          <w:szCs w:val="16"/>
        </w:rPr>
      </w:pPr>
      <w:r>
        <w:rPr>
          <w:rFonts w:asciiTheme="majorHAnsi" w:hAnsiTheme="majorHAnsi"/>
          <w:bCs/>
          <w:color w:val="000090"/>
          <w:sz w:val="16"/>
          <w:szCs w:val="16"/>
        </w:rPr>
        <w:t>__________________________________________________________________________________________________________</w:t>
      </w:r>
    </w:p>
    <w:p w14:paraId="03E0F42C" w14:textId="77777777" w:rsidR="00BF649D" w:rsidRPr="00BF649D" w:rsidRDefault="00BF649D" w:rsidP="00E018F5">
      <w:pPr>
        <w:rPr>
          <w:rFonts w:asciiTheme="majorHAnsi" w:hAnsiTheme="majorHAnsi"/>
          <w:bCs/>
          <w:color w:val="000090"/>
          <w:sz w:val="16"/>
          <w:szCs w:val="16"/>
        </w:rPr>
      </w:pPr>
    </w:p>
    <w:p w14:paraId="5079018D" w14:textId="62221C6C" w:rsidR="00254306" w:rsidRPr="00BF649D" w:rsidRDefault="00BF649D">
      <w:pPr>
        <w:rPr>
          <w:color w:val="000090"/>
        </w:rPr>
      </w:pPr>
      <w:r w:rsidRPr="00BF649D">
        <w:rPr>
          <w:rFonts w:ascii="Calibri" w:hAnsi="Calibri" w:cs="Arial"/>
          <w:b/>
          <w:bCs/>
          <w:color w:val="000090"/>
          <w:sz w:val="22"/>
          <w:szCs w:val="22"/>
        </w:rPr>
        <w:t>Climate Action Network (CAN)</w:t>
      </w:r>
      <w:r w:rsidRPr="00BF649D">
        <w:rPr>
          <w:rFonts w:ascii="Calibri" w:hAnsi="Calibri" w:cs="Arial"/>
          <w:color w:val="000090"/>
          <w:sz w:val="22"/>
          <w:szCs w:val="22"/>
        </w:rPr>
        <w:t xml:space="preserve"> </w:t>
      </w:r>
      <w:r w:rsidRPr="00BF649D">
        <w:rPr>
          <w:rFonts w:ascii="Calibri" w:hAnsi="Calibri" w:cs="Arial"/>
          <w:b/>
          <w:bCs/>
          <w:color w:val="000090"/>
          <w:sz w:val="22"/>
          <w:szCs w:val="22"/>
        </w:rPr>
        <w:t xml:space="preserve">Europe </w:t>
      </w:r>
      <w:r w:rsidRPr="00BF649D">
        <w:rPr>
          <w:rFonts w:ascii="Calibri" w:hAnsi="Calibri" w:cs="Arial"/>
          <w:color w:val="000090"/>
          <w:sz w:val="22"/>
          <w:szCs w:val="22"/>
        </w:rPr>
        <w:t xml:space="preserve">is Europe's largest </w:t>
      </w:r>
      <w:r w:rsidR="00905BC1">
        <w:rPr>
          <w:rFonts w:ascii="Calibri" w:hAnsi="Calibri" w:cs="Arial"/>
          <w:color w:val="000090"/>
          <w:sz w:val="22"/>
          <w:szCs w:val="22"/>
        </w:rPr>
        <w:t xml:space="preserve">NGOs </w:t>
      </w:r>
      <w:r w:rsidRPr="00BF649D">
        <w:rPr>
          <w:rFonts w:ascii="Calibri" w:hAnsi="Calibri" w:cs="Arial"/>
          <w:color w:val="000090"/>
          <w:sz w:val="22"/>
          <w:szCs w:val="22"/>
        </w:rPr>
        <w:t xml:space="preserve">coalition working on climate </w:t>
      </w:r>
      <w:r w:rsidR="00346690">
        <w:rPr>
          <w:rFonts w:ascii="Calibri" w:hAnsi="Calibri" w:cs="Arial"/>
          <w:color w:val="000090"/>
          <w:sz w:val="22"/>
          <w:szCs w:val="22"/>
        </w:rPr>
        <w:t>and energy issues. With over 140</w:t>
      </w:r>
      <w:r w:rsidRPr="00BF649D">
        <w:rPr>
          <w:rFonts w:ascii="Calibri" w:hAnsi="Calibri" w:cs="Arial"/>
          <w:color w:val="000090"/>
          <w:sz w:val="22"/>
          <w:szCs w:val="22"/>
        </w:rPr>
        <w:t xml:space="preserve"> member organisations in 27 European countries, CAN-Europe works to prevent dangerous climate change and promote sustainable energy and environment policy in Europe.</w:t>
      </w:r>
    </w:p>
    <w:sectPr w:rsidR="00254306" w:rsidRPr="00BF649D" w:rsidSect="00105B4A">
      <w:headerReference w:type="default" r:id="rId8"/>
      <w:pgSz w:w="11900" w:h="16840"/>
      <w:pgMar w:top="1440" w:right="1701" w:bottom="993" w:left="1701" w:header="426"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65EFB" w14:textId="77777777" w:rsidR="00105B4A" w:rsidRDefault="00105B4A" w:rsidP="00E018F5">
      <w:r>
        <w:separator/>
      </w:r>
    </w:p>
  </w:endnote>
  <w:endnote w:type="continuationSeparator" w:id="0">
    <w:p w14:paraId="65BB3F5B" w14:textId="77777777" w:rsidR="00105B4A" w:rsidRDefault="00105B4A" w:rsidP="00E0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8846C" w14:textId="77777777" w:rsidR="00105B4A" w:rsidRDefault="00105B4A" w:rsidP="00E018F5">
      <w:r>
        <w:separator/>
      </w:r>
    </w:p>
  </w:footnote>
  <w:footnote w:type="continuationSeparator" w:id="0">
    <w:p w14:paraId="7E06161A" w14:textId="77777777" w:rsidR="00105B4A" w:rsidRDefault="00105B4A" w:rsidP="00E018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2213D" w14:textId="77777777" w:rsidR="00105B4A" w:rsidRDefault="00EB007E" w:rsidP="00105B4A">
    <w:pPr>
      <w:pStyle w:val="Header"/>
      <w:jc w:val="center"/>
      <w:rPr>
        <w:b/>
        <w:sz w:val="16"/>
        <w:szCs w:val="16"/>
      </w:rPr>
    </w:pPr>
    <w:r>
      <w:rPr>
        <w:b/>
        <w:sz w:val="16"/>
        <w:szCs w:val="16"/>
      </w:rPr>
      <w:pict w14:anchorId="0DCE5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pt;height:84pt">
          <v:imagedata r:id="rId1" o:title=""/>
        </v:shape>
      </w:pict>
    </w:r>
  </w:p>
  <w:p w14:paraId="29B1CF2B" w14:textId="77777777" w:rsidR="00105B4A" w:rsidRPr="005F6806" w:rsidRDefault="00105B4A" w:rsidP="00105B4A">
    <w:pPr>
      <w:pStyle w:val="Header"/>
      <w:jc w:val="center"/>
      <w:rPr>
        <w:b/>
        <w:sz w:val="16"/>
        <w:szCs w:val="16"/>
      </w:rPr>
    </w:pPr>
    <w:r>
      <w:rPr>
        <w:b/>
        <w:sz w:val="16"/>
        <w:szCs w:val="16"/>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nsid w:val="00000002"/>
    <w:multiLevelType w:val="multilevel"/>
    <w:tmpl w:val="00000002"/>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nsid w:val="00000003"/>
    <w:multiLevelType w:val="multilevel"/>
    <w:tmpl w:val="00000003"/>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
    <w:nsid w:val="2AC576E8"/>
    <w:multiLevelType w:val="hybridMultilevel"/>
    <w:tmpl w:val="071E5D6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649D2670"/>
    <w:multiLevelType w:val="multilevel"/>
    <w:tmpl w:val="B4AEEA46"/>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b/>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ocumentProtection w:edit="trackedChanges" w:enforcement="1" w:cryptProviderType="rsaFull" w:cryptAlgorithmClass="hash" w:cryptAlgorithmType="typeAny" w:cryptAlgorithmSid="4" w:cryptSpinCount="100000" w:hash="Tj5ga5tufNNbAiA7kp0uMneytTc=" w:salt="cwoUqMGTH4zJGsucH6DYAw=="/>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F5"/>
    <w:rsid w:val="00105B4A"/>
    <w:rsid w:val="00254306"/>
    <w:rsid w:val="0033217B"/>
    <w:rsid w:val="00346690"/>
    <w:rsid w:val="005B1E7E"/>
    <w:rsid w:val="008223DA"/>
    <w:rsid w:val="00887BB5"/>
    <w:rsid w:val="00905BC1"/>
    <w:rsid w:val="00A70CB5"/>
    <w:rsid w:val="00BF649D"/>
    <w:rsid w:val="00D84974"/>
    <w:rsid w:val="00E018F5"/>
    <w:rsid w:val="00EB007E"/>
    <w:rsid w:val="00EF6C1C"/>
    <w:rsid w:val="00FD0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14947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F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8F5"/>
    <w:pPr>
      <w:tabs>
        <w:tab w:val="center" w:pos="4320"/>
        <w:tab w:val="right" w:pos="8640"/>
      </w:tabs>
    </w:pPr>
  </w:style>
  <w:style w:type="character" w:customStyle="1" w:styleId="HeaderChar">
    <w:name w:val="Header Char"/>
    <w:basedOn w:val="DefaultParagraphFont"/>
    <w:link w:val="Header"/>
    <w:uiPriority w:val="99"/>
    <w:rsid w:val="00E018F5"/>
    <w:rPr>
      <w:rFonts w:ascii="Cambria" w:eastAsia="MS Mincho" w:hAnsi="Cambria" w:cs="Times New Roman"/>
    </w:rPr>
  </w:style>
  <w:style w:type="paragraph" w:styleId="FootnoteText">
    <w:name w:val="footnote text"/>
    <w:basedOn w:val="Normal"/>
    <w:link w:val="FootnoteTextChar"/>
    <w:uiPriority w:val="99"/>
    <w:unhideWhenUsed/>
    <w:rsid w:val="00E018F5"/>
  </w:style>
  <w:style w:type="character" w:customStyle="1" w:styleId="FootnoteTextChar">
    <w:name w:val="Footnote Text Char"/>
    <w:basedOn w:val="DefaultParagraphFont"/>
    <w:link w:val="FootnoteText"/>
    <w:uiPriority w:val="99"/>
    <w:rsid w:val="00E018F5"/>
    <w:rPr>
      <w:rFonts w:ascii="Cambria" w:eastAsia="MS Mincho" w:hAnsi="Cambria" w:cs="Times New Roman"/>
    </w:rPr>
  </w:style>
  <w:style w:type="character" w:styleId="FootnoteReference">
    <w:name w:val="footnote reference"/>
    <w:uiPriority w:val="99"/>
    <w:unhideWhenUsed/>
    <w:rsid w:val="00E018F5"/>
    <w:rPr>
      <w:vertAlign w:val="superscript"/>
    </w:rPr>
  </w:style>
  <w:style w:type="paragraph" w:customStyle="1" w:styleId="NormalCentered">
    <w:name w:val="Normal Centered"/>
    <w:basedOn w:val="Normal"/>
    <w:rsid w:val="00E018F5"/>
    <w:pPr>
      <w:spacing w:before="120" w:after="120"/>
      <w:jc w:val="center"/>
    </w:pPr>
    <w:rPr>
      <w:rFonts w:ascii="Times New Roman" w:eastAsia="Times New Roman" w:hAnsi="Times New Roman"/>
      <w:lang w:val="en-GB"/>
    </w:rPr>
  </w:style>
  <w:style w:type="paragraph" w:styleId="BalloonText">
    <w:name w:val="Balloon Text"/>
    <w:basedOn w:val="Normal"/>
    <w:link w:val="BalloonTextChar"/>
    <w:uiPriority w:val="99"/>
    <w:semiHidden/>
    <w:unhideWhenUsed/>
    <w:rsid w:val="00105B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B4A"/>
    <w:rPr>
      <w:rFonts w:ascii="Lucida Grande" w:eastAsia="MS Mincho" w:hAnsi="Lucida Grande" w:cs="Lucida Grande"/>
      <w:sz w:val="18"/>
      <w:szCs w:val="18"/>
    </w:rPr>
  </w:style>
  <w:style w:type="character" w:styleId="CommentReference">
    <w:name w:val="annotation reference"/>
    <w:basedOn w:val="DefaultParagraphFont"/>
    <w:uiPriority w:val="99"/>
    <w:semiHidden/>
    <w:unhideWhenUsed/>
    <w:rsid w:val="00105B4A"/>
    <w:rPr>
      <w:sz w:val="18"/>
      <w:szCs w:val="18"/>
    </w:rPr>
  </w:style>
  <w:style w:type="paragraph" w:styleId="CommentText">
    <w:name w:val="annotation text"/>
    <w:basedOn w:val="Normal"/>
    <w:link w:val="CommentTextChar"/>
    <w:uiPriority w:val="99"/>
    <w:semiHidden/>
    <w:unhideWhenUsed/>
    <w:rsid w:val="00105B4A"/>
  </w:style>
  <w:style w:type="character" w:customStyle="1" w:styleId="CommentTextChar">
    <w:name w:val="Comment Text Char"/>
    <w:basedOn w:val="DefaultParagraphFont"/>
    <w:link w:val="CommentText"/>
    <w:uiPriority w:val="99"/>
    <w:semiHidden/>
    <w:rsid w:val="00105B4A"/>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105B4A"/>
    <w:rPr>
      <w:b/>
      <w:bCs/>
      <w:sz w:val="20"/>
      <w:szCs w:val="20"/>
    </w:rPr>
  </w:style>
  <w:style w:type="character" w:customStyle="1" w:styleId="CommentSubjectChar">
    <w:name w:val="Comment Subject Char"/>
    <w:basedOn w:val="CommentTextChar"/>
    <w:link w:val="CommentSubject"/>
    <w:uiPriority w:val="99"/>
    <w:semiHidden/>
    <w:rsid w:val="00105B4A"/>
    <w:rPr>
      <w:rFonts w:ascii="Cambria" w:eastAsia="MS Mincho" w:hAnsi="Cambria" w:cs="Times New Roman"/>
      <w:b/>
      <w:bCs/>
      <w:sz w:val="20"/>
      <w:szCs w:val="20"/>
    </w:rPr>
  </w:style>
  <w:style w:type="paragraph" w:styleId="Revision">
    <w:name w:val="Revision"/>
    <w:hidden/>
    <w:uiPriority w:val="99"/>
    <w:semiHidden/>
    <w:rsid w:val="008223DA"/>
    <w:rPr>
      <w:rFonts w:ascii="Cambria" w:eastAsia="MS Mincho" w:hAnsi="Cambria" w:cs="Times New Roman"/>
    </w:rPr>
  </w:style>
  <w:style w:type="character" w:styleId="Hyperlink">
    <w:name w:val="Hyperlink"/>
    <w:rsid w:val="00905BC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F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8F5"/>
    <w:pPr>
      <w:tabs>
        <w:tab w:val="center" w:pos="4320"/>
        <w:tab w:val="right" w:pos="8640"/>
      </w:tabs>
    </w:pPr>
  </w:style>
  <w:style w:type="character" w:customStyle="1" w:styleId="HeaderChar">
    <w:name w:val="Header Char"/>
    <w:basedOn w:val="DefaultParagraphFont"/>
    <w:link w:val="Header"/>
    <w:uiPriority w:val="99"/>
    <w:rsid w:val="00E018F5"/>
    <w:rPr>
      <w:rFonts w:ascii="Cambria" w:eastAsia="MS Mincho" w:hAnsi="Cambria" w:cs="Times New Roman"/>
    </w:rPr>
  </w:style>
  <w:style w:type="paragraph" w:styleId="FootnoteText">
    <w:name w:val="footnote text"/>
    <w:basedOn w:val="Normal"/>
    <w:link w:val="FootnoteTextChar"/>
    <w:uiPriority w:val="99"/>
    <w:unhideWhenUsed/>
    <w:rsid w:val="00E018F5"/>
  </w:style>
  <w:style w:type="character" w:customStyle="1" w:styleId="FootnoteTextChar">
    <w:name w:val="Footnote Text Char"/>
    <w:basedOn w:val="DefaultParagraphFont"/>
    <w:link w:val="FootnoteText"/>
    <w:uiPriority w:val="99"/>
    <w:rsid w:val="00E018F5"/>
    <w:rPr>
      <w:rFonts w:ascii="Cambria" w:eastAsia="MS Mincho" w:hAnsi="Cambria" w:cs="Times New Roman"/>
    </w:rPr>
  </w:style>
  <w:style w:type="character" w:styleId="FootnoteReference">
    <w:name w:val="footnote reference"/>
    <w:uiPriority w:val="99"/>
    <w:unhideWhenUsed/>
    <w:rsid w:val="00E018F5"/>
    <w:rPr>
      <w:vertAlign w:val="superscript"/>
    </w:rPr>
  </w:style>
  <w:style w:type="paragraph" w:customStyle="1" w:styleId="NormalCentered">
    <w:name w:val="Normal Centered"/>
    <w:basedOn w:val="Normal"/>
    <w:rsid w:val="00E018F5"/>
    <w:pPr>
      <w:spacing w:before="120" w:after="120"/>
      <w:jc w:val="center"/>
    </w:pPr>
    <w:rPr>
      <w:rFonts w:ascii="Times New Roman" w:eastAsia="Times New Roman" w:hAnsi="Times New Roman"/>
      <w:lang w:val="en-GB"/>
    </w:rPr>
  </w:style>
  <w:style w:type="paragraph" w:styleId="BalloonText">
    <w:name w:val="Balloon Text"/>
    <w:basedOn w:val="Normal"/>
    <w:link w:val="BalloonTextChar"/>
    <w:uiPriority w:val="99"/>
    <w:semiHidden/>
    <w:unhideWhenUsed/>
    <w:rsid w:val="00105B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B4A"/>
    <w:rPr>
      <w:rFonts w:ascii="Lucida Grande" w:eastAsia="MS Mincho" w:hAnsi="Lucida Grande" w:cs="Lucida Grande"/>
      <w:sz w:val="18"/>
      <w:szCs w:val="18"/>
    </w:rPr>
  </w:style>
  <w:style w:type="character" w:styleId="CommentReference">
    <w:name w:val="annotation reference"/>
    <w:basedOn w:val="DefaultParagraphFont"/>
    <w:uiPriority w:val="99"/>
    <w:semiHidden/>
    <w:unhideWhenUsed/>
    <w:rsid w:val="00105B4A"/>
    <w:rPr>
      <w:sz w:val="18"/>
      <w:szCs w:val="18"/>
    </w:rPr>
  </w:style>
  <w:style w:type="paragraph" w:styleId="CommentText">
    <w:name w:val="annotation text"/>
    <w:basedOn w:val="Normal"/>
    <w:link w:val="CommentTextChar"/>
    <w:uiPriority w:val="99"/>
    <w:semiHidden/>
    <w:unhideWhenUsed/>
    <w:rsid w:val="00105B4A"/>
  </w:style>
  <w:style w:type="character" w:customStyle="1" w:styleId="CommentTextChar">
    <w:name w:val="Comment Text Char"/>
    <w:basedOn w:val="DefaultParagraphFont"/>
    <w:link w:val="CommentText"/>
    <w:uiPriority w:val="99"/>
    <w:semiHidden/>
    <w:rsid w:val="00105B4A"/>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105B4A"/>
    <w:rPr>
      <w:b/>
      <w:bCs/>
      <w:sz w:val="20"/>
      <w:szCs w:val="20"/>
    </w:rPr>
  </w:style>
  <w:style w:type="character" w:customStyle="1" w:styleId="CommentSubjectChar">
    <w:name w:val="Comment Subject Char"/>
    <w:basedOn w:val="CommentTextChar"/>
    <w:link w:val="CommentSubject"/>
    <w:uiPriority w:val="99"/>
    <w:semiHidden/>
    <w:rsid w:val="00105B4A"/>
    <w:rPr>
      <w:rFonts w:ascii="Cambria" w:eastAsia="MS Mincho" w:hAnsi="Cambria" w:cs="Times New Roman"/>
      <w:b/>
      <w:bCs/>
      <w:sz w:val="20"/>
      <w:szCs w:val="20"/>
    </w:rPr>
  </w:style>
  <w:style w:type="paragraph" w:styleId="Revision">
    <w:name w:val="Revision"/>
    <w:hidden/>
    <w:uiPriority w:val="99"/>
    <w:semiHidden/>
    <w:rsid w:val="008223DA"/>
    <w:rPr>
      <w:rFonts w:ascii="Cambria" w:eastAsia="MS Mincho" w:hAnsi="Cambria" w:cs="Times New Roman"/>
    </w:rPr>
  </w:style>
  <w:style w:type="character" w:styleId="Hyperlink">
    <w:name w:val="Hyperlink"/>
    <w:rsid w:val="00905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2538</Words>
  <Characters>14473</Characters>
  <Application>Microsoft Macintosh Word</Application>
  <DocSecurity>0</DocSecurity>
  <Lines>120</Lines>
  <Paragraphs>33</Paragraphs>
  <ScaleCrop>false</ScaleCrop>
  <Company>CAN Europe</Company>
  <LinksUpToDate>false</LinksUpToDate>
  <CharactersWithSpaces>16978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Keys</dc:creator>
  <cp:keywords/>
  <dc:description/>
  <cp:lastModifiedBy>Matthew Keys</cp:lastModifiedBy>
  <cp:revision>2</cp:revision>
  <dcterms:created xsi:type="dcterms:W3CDTF">2013-07-25T14:24:00Z</dcterms:created>
  <dcterms:modified xsi:type="dcterms:W3CDTF">2013-07-25T14:24:00Z</dcterms:modified>
</cp:coreProperties>
</file>