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F33" w:rsidRDefault="0040252E">
      <w:pPr>
        <w:shd w:val="clear" w:color="auto" w:fill="FFFFFF"/>
        <w:spacing w:after="0" w:line="256" w:lineRule="auto"/>
        <w:jc w:val="right"/>
        <w:rPr>
          <w:b/>
          <w:sz w:val="30"/>
          <w:szCs w:val="30"/>
          <w:highlight w:val="white"/>
        </w:rPr>
      </w:pPr>
      <w:r>
        <w:rPr>
          <w:b/>
          <w:sz w:val="30"/>
          <w:szCs w:val="30"/>
          <w:highlight w:val="white"/>
        </w:rPr>
        <w:t>PRESS RELEASE</w:t>
      </w:r>
    </w:p>
    <w:p w:rsidR="002C6F33" w:rsidRDefault="0040252E">
      <w:pPr>
        <w:shd w:val="clear" w:color="auto" w:fill="FFFFFF"/>
        <w:spacing w:line="256" w:lineRule="auto"/>
        <w:jc w:val="right"/>
        <w:rPr>
          <w:b/>
          <w:sz w:val="30"/>
          <w:szCs w:val="30"/>
          <w:highlight w:val="white"/>
        </w:rPr>
      </w:pPr>
      <w:r>
        <w:rPr>
          <w:b/>
          <w:sz w:val="30"/>
          <w:szCs w:val="30"/>
          <w:highlight w:val="white"/>
        </w:rPr>
        <w:t xml:space="preserve">5 JULY 2021                                                                   </w:t>
      </w:r>
    </w:p>
    <w:p w:rsidR="002C6F33" w:rsidRDefault="0040252E">
      <w:pPr>
        <w:shd w:val="clear" w:color="auto" w:fill="FFFFFF"/>
        <w:spacing w:line="256" w:lineRule="auto"/>
        <w:jc w:val="both"/>
        <w:rPr>
          <w:b/>
          <w:sz w:val="30"/>
          <w:szCs w:val="30"/>
          <w:shd w:val="clear" w:color="auto" w:fill="1155CC"/>
        </w:rPr>
      </w:pPr>
      <w:r>
        <w:pict w14:anchorId="7D2A42A7">
          <v:rect id="_x0000_i1025" style="width:0;height:1.5pt" o:hralign="center" o:hrstd="t" o:hr="t" fillcolor="#a0a0a0" stroked="f"/>
        </w:pict>
      </w:r>
    </w:p>
    <w:p w:rsidR="002C6F33" w:rsidRDefault="002C6F33">
      <w:pPr>
        <w:rPr>
          <w:b/>
        </w:rPr>
      </w:pPr>
    </w:p>
    <w:p w:rsidR="002C6F33" w:rsidRDefault="0040252E">
      <w:pPr>
        <w:rPr>
          <w:b/>
          <w:sz w:val="28"/>
          <w:szCs w:val="28"/>
        </w:rPr>
      </w:pPr>
      <w:r>
        <w:rPr>
          <w:b/>
          <w:sz w:val="28"/>
          <w:szCs w:val="28"/>
        </w:rPr>
        <w:t>CAN Europe u bën thirrje udhëheqësve të Ballkanit Perëndimor të vendosin tani caqe ambicioze të uljes së emisioneve të gazërave serrë gjer më 2030 dhe të dekarbonizojnë ekonomitë e tyre gjer më 2050</w:t>
      </w:r>
    </w:p>
    <w:p w:rsidR="002C6F33" w:rsidRDefault="0040252E">
      <w:pPr>
        <w:rPr>
          <w:i/>
        </w:rPr>
      </w:pPr>
      <w:r>
        <w:rPr>
          <w:i/>
        </w:rPr>
        <w:t xml:space="preserve">Shtetet e Ballkanit Perëndimor duhet të vendosin caqe të </w:t>
      </w:r>
      <w:r>
        <w:rPr>
          <w:i/>
        </w:rPr>
        <w:t>qarta dhe ambicioze të klimës (dhe planet e veprimit) për vitin 2030, në mënyrë që të qëndrojnë në përputhje me qëllimet e kufizimit të rritjes së temperaturës në 1.5 ° C siç parashikohet me Marrëveshjen e Parisit. Udhëheqësit rajonalë duhet të respektojnë</w:t>
      </w:r>
      <w:r>
        <w:rPr>
          <w:i/>
        </w:rPr>
        <w:t xml:space="preserve"> premtimet e tyre të bëra brenda Deklaratës së Sofjes që përcakton arritjen e neutralitetit klimatik deri në 2050. Përndryshe sfidat mjedisore, sociale dhe financiare do të bëhen së shpejti edhe më të ashpra për rajonin.</w:t>
      </w:r>
    </w:p>
    <w:p w:rsidR="002C6F33" w:rsidRDefault="0040252E">
      <w:r>
        <w:rPr>
          <w:b/>
        </w:rPr>
        <w:t>Bruksel, 5 korrik</w:t>
      </w:r>
      <w:r>
        <w:t xml:space="preserve"> - Për të rritur p</w:t>
      </w:r>
      <w:r>
        <w:t>ërpjekjet mbarë europiane në luftimin e ndryshimeve klimatike, CAN Europe publikoi ​​një sërë rekomandimesh dhe një studim diskutimi për të ndihmuar vendet e Ballkanit Perëndimor (BP) të vendosin një rrugë të qartë dhe ambicioze për të zvogëluar emetimet e</w:t>
      </w:r>
      <w:r>
        <w:t xml:space="preserve"> gazërave serrë (GHG). Me këtë publikim, CAN Europe synon t’i kontribuoj  procesit të caktimit të caqeve të vitit 2030 në kuadër të Komunitetit të Energjisë. Komisioni Evropian pritet të paraqesë një analizë mbi caqet 2030 në vjeshtën e këtij viti dhe e ci</w:t>
      </w:r>
      <w:r>
        <w:t>la do të diskutohet në Këshillin Ministror të Komunitetit të Energjisë në nëntor.</w:t>
      </w:r>
    </w:p>
    <w:p w:rsidR="002C6F33" w:rsidRDefault="0040252E">
      <w:r>
        <w:t>Publikimi i CAN Europe tregon se rajoni duhet të ulë ndjeshëm emetimet e gazërave serrë në vitet e ardhshme, përcjellur me korinza të duhur të politikave si dhe plane konkret</w:t>
      </w:r>
      <w:r>
        <w:t>e të veprimit, nëse cak i vendeve të BP është arritja e dekarbonizimit mbarë ekonomik deri më 2050. Si nënshkruese të Marrëveshjes së Parisit dhe Deklaratës së Sofjes, qeveritë e BP kanë dhënë premtime të qarta politike për të kontribuar në kufizimin e ngr</w:t>
      </w:r>
      <w:r>
        <w:t>ohjes globale në 1.5 gradë Celsius dhe arritjen e dekarbonizimit deri në vitin 2050.</w:t>
      </w:r>
    </w:p>
    <w:p w:rsidR="002C6F33" w:rsidRDefault="0040252E">
      <w:pPr>
        <w:rPr>
          <w:b/>
        </w:rPr>
      </w:pPr>
      <w:hyperlink r:id="rId7">
        <w:r>
          <w:rPr>
            <w:b/>
            <w:color w:val="1155CC"/>
            <w:u w:val="single"/>
          </w:rPr>
          <w:t xml:space="preserve">Për më shumë informacion, ju lutemi referojuni </w:t>
        </w:r>
        <w:r>
          <w:rPr>
            <w:b/>
            <w:color w:val="1155CC"/>
            <w:u w:val="single"/>
          </w:rPr>
          <w:t xml:space="preserve">studimit duke klikuar </w:t>
        </w:r>
      </w:hyperlink>
      <w:hyperlink r:id="rId8">
        <w:r>
          <w:rPr>
            <w:b/>
            <w:color w:val="1155CC"/>
            <w:u w:val="single"/>
          </w:rPr>
          <w:t>këtu.</w:t>
        </w:r>
      </w:hyperlink>
    </w:p>
    <w:p w:rsidR="002C6F33" w:rsidRDefault="0040252E">
      <w:r>
        <w:t>Për të shqyrtuar caqet e mundshme që do ishin në përputhje me zotimet e rajonit</w:t>
      </w:r>
      <w:bookmarkStart w:id="0" w:name="_GoBack"/>
      <w:bookmarkEnd w:id="0"/>
      <w:r>
        <w:t xml:space="preserve"> ndaj dekarbonizimit deri</w:t>
      </w:r>
      <w:r>
        <w:t xml:space="preserve"> në vitin 2050, CAN Europe shqyrtoi dy opsione - një plan më shumë dhe një më pak ambicioz për uljen e emetimeve të gazeve serrë. Rezultatet e studimit tregojnë se vendet e Ballkanit Perëndimor nuk kanë më vend për shmangje sa i përket zvogëlimit tw emetim</w:t>
      </w:r>
      <w:r>
        <w:t xml:space="preserve">eve të gazrave serrë. Emetimet nga sektori i energjisë në rajon paraqesin 74% të të gjitha emetimeve të gazeve serrë. Emetuesi kryesor është flota e vjetëruar dhe joefikase me energji termike të prodhuar nga ljinjiti - </w:t>
      </w:r>
      <w:hyperlink r:id="rId9">
        <w:r>
          <w:rPr>
            <w:color w:val="1155CC"/>
            <w:highlight w:val="white"/>
            <w:u w:val="single"/>
          </w:rPr>
          <w:t>16 impiante qymyri në BP ndotin aq sa me 250 njësitë e flotës europiane</w:t>
        </w:r>
      </w:hyperlink>
      <w:r>
        <w:t xml:space="preserve">! Andaj, gjerësa </w:t>
      </w:r>
      <w:r>
        <w:lastRenderedPageBreak/>
        <w:t>dekarbonizimi i secilit sektor emetues i gazë</w:t>
      </w:r>
      <w:r>
        <w:t>rave serrë duhet të jetë i menjëhershëm, përparësia dhe theksi bie tek sektori i energjisë.</w:t>
      </w:r>
    </w:p>
    <w:p w:rsidR="002C6F33" w:rsidRDefault="0040252E">
      <w:r>
        <w:t>Derisa Serbia dhe Bosnja dhe Hercegovi</w:t>
      </w:r>
      <w:r>
        <w:t>na po planifikojnë ndërtimin e kapaciteteve të reja prodhuese rrymës nga qymyri, lajmi i mirë është se rishtazi tre nga pesë nga vendet e Ballkanit Perëndimor nuk vazhduan me planet e tyre për të ndërtuar termocentrale të reja, përkatësisht projekti Kosova</w:t>
      </w:r>
      <w:r>
        <w:t xml:space="preserve"> e Re në Kosovë (500 MW) , Pljevlja II në Mal të Zi (254 MW) dhe Oslomej në Maqedoninë e Veriut (129.5 MW). Trendi duhet të vazhdojë, duke siguruar një proces të informuar, gjithëpërfshirës dhe pjesëmarrës të komuniteteve të prekura nga qymyri.</w:t>
      </w:r>
    </w:p>
    <w:p w:rsidR="002C6F33" w:rsidRDefault="0040252E">
      <w:r>
        <w:t>“Vendosja e</w:t>
      </w:r>
      <w:r>
        <w:t xml:space="preserve"> caqeve të vitit 2030 do të jetë një faktor kryesor në tranzicionin e ardhshëm të energjisë në Ballkanin Perëndimor. Kështu, është me rëndësi jetike të shfrytëzohet ky moment dhe të vendoset rruga drejt ambicies së nevojshme në mënyrë që të jemi në gjendje</w:t>
      </w:r>
      <w:r>
        <w:t xml:space="preserve"> të arrijmë dekarbonizimin mbarëekonomik deri në vitin 2050 në Ballkanin Perëndimor, të respektojmë premtimet e Marrëveshjes së Parisit dhe më e rëndësishmja të sigurojmë një të ardhme të pastër dhe të shëndetshme. ” tha Viktor Berishaj nga CAN Europe.</w:t>
      </w:r>
    </w:p>
    <w:p w:rsidR="002C6F33" w:rsidRDefault="0040252E">
      <w:r>
        <w:t>-EN</w:t>
      </w:r>
      <w:r>
        <w:t>DS-</w:t>
      </w:r>
    </w:p>
    <w:p w:rsidR="002C6F33" w:rsidRDefault="0040252E">
      <w:r>
        <w:t xml:space="preserve">- - - - - - - - - - - - - - - - - - - </w:t>
      </w:r>
    </w:p>
    <w:p w:rsidR="002C6F33" w:rsidRDefault="0040252E">
      <w:pPr>
        <w:rPr>
          <w:b/>
        </w:rPr>
      </w:pPr>
      <w:r>
        <w:rPr>
          <w:b/>
        </w:rPr>
        <w:t>SHENIME PER Redaksinë</w:t>
      </w:r>
    </w:p>
    <w:p w:rsidR="002C6F33" w:rsidRDefault="0040252E">
      <w:pPr>
        <w:rPr>
          <w:b/>
        </w:rPr>
      </w:pPr>
      <w:r>
        <w:rPr>
          <w:b/>
        </w:rPr>
        <w:t>Metodologjia e studimit:</w:t>
      </w:r>
    </w:p>
    <w:p w:rsidR="002C6F33" w:rsidRDefault="0040252E">
      <w:r>
        <w:t>Studimi zhvillon dy modele: a) Një reduktim linear i emetimeve për të arritur dekarbonizimin deri në vitin 2050. Qasja lineare siguron rrugën më pak ambicioze që ve</w:t>
      </w:r>
      <w:r>
        <w:t>ndet duhet të ndjekin drejt caktimit të synimeve të zvogëlimit të emetimeve të gazeve serë 2030; b) Për krahasimin e ambicies së reduktimit linear, shqyrtuam pjesëmarrjen e emetimeve të Ballkanit Perëndimor në nivelin global në 2030, në përputhje me</w:t>
      </w:r>
      <w:r>
        <w:rPr>
          <w:highlight w:val="white"/>
        </w:rPr>
        <w:t xml:space="preserve"> </w:t>
      </w:r>
      <w:hyperlink r:id="rId10">
        <w:r>
          <w:rPr>
            <w:color w:val="1155CC"/>
            <w:highlight w:val="white"/>
            <w:u w:val="single"/>
          </w:rPr>
          <w:t>Raportin Special të IPCC më 1.5</w:t>
        </w:r>
      </w:hyperlink>
      <w:r>
        <w:rPr>
          <w:highlight w:val="white"/>
        </w:rPr>
        <w:t>.</w:t>
      </w:r>
    </w:p>
    <w:p w:rsidR="002C6F33" w:rsidRDefault="0040252E">
      <w:hyperlink r:id="rId11">
        <w:r>
          <w:rPr>
            <w:b/>
            <w:color w:val="1155CC"/>
            <w:u w:val="single"/>
          </w:rPr>
          <w:t xml:space="preserve">Për më shumë informacion, ju lutemi referojuni studimit </w:t>
        </w:r>
        <w:r>
          <w:rPr>
            <w:b/>
            <w:color w:val="1155CC"/>
            <w:u w:val="single"/>
          </w:rPr>
          <w:t>duke klikuar këtu.</w:t>
        </w:r>
      </w:hyperlink>
    </w:p>
    <w:p w:rsidR="002C6F33" w:rsidRDefault="0040252E">
      <w:r>
        <w:rPr>
          <w:b/>
        </w:rPr>
        <w:t>Kontekst</w:t>
      </w:r>
      <w:r>
        <w:t>:</w:t>
      </w:r>
    </w:p>
    <w:p w:rsidR="002C6F33" w:rsidRDefault="0040252E">
      <w:r>
        <w:t xml:space="preserve">Gjashtë shtetet e Ballkanit Perëndimor (Shqipëria, Bosnja dhe Hercegovina, Kosova, Mali i Zi, Maqedonia e Veriut dhe Serbia) janë Palët Kontraktuese të Traktatit të Komunitetit të Energjisë, udhëheqësi kryesor i tranzicionit të energjisë në rajon, qëllimi </w:t>
      </w:r>
      <w:r>
        <w:t>i të cilit është krijimi i tregut mbarë europian të energjisë. Sekretariati i Komunitetit të Energjisë aktualisht po mbështetë procesin e hartimit të Planeve Kombëtare të Energjisë dhe Klimës (NECP) që do të ndihmojnë secilin shtet për të zbatuar caqët e 2</w:t>
      </w:r>
      <w:r>
        <w:t xml:space="preserve">030. Për më tepër, vendet po punojnë në përditrësimin e Kontributeve të Përcaktuara Kombëtare (NDC), të cilat duhet të shpiejnë drejtë uljes së emetimeve të gazeve serrë në përputhje me objektivat e marrëveshjes së Parisit dhe kufizimin e ngrohjes globale </w:t>
      </w:r>
      <w:r>
        <w:t>në 1.5C krahasuar me nivelet para zhvillimt industrial.</w:t>
      </w:r>
    </w:p>
    <w:p w:rsidR="002C6F33" w:rsidRDefault="0040252E">
      <w:r>
        <w:lastRenderedPageBreak/>
        <w:t>CAN Europe synon të kontribuojë në procesin e vendosjes së caqeve të klimës dhe energjisë 2030 në Komunitetin e Energjisë, proces ky i udhëhequr nga Komisioni Evropian, i cili po zhvillon një studim m</w:t>
      </w:r>
      <w:r>
        <w:t>bi caqet e rajonit 2030 - "Zgjerimi i kapaciteteve modeluese të energjisë dhe klimës nga BE drejtë nëntë Palëve Kontraktuese të Komunitetit të Energjisë”, që do të paraqiten në Këshillin Ministror në vjeshtë 2021.</w:t>
      </w:r>
    </w:p>
    <w:p w:rsidR="002C6F33" w:rsidRDefault="002C6F33"/>
    <w:p w:rsidR="002C6F33" w:rsidRDefault="0040252E">
      <w:r>
        <w:t>- - - - - - - - - - - - - - - - - - - -</w:t>
      </w:r>
    </w:p>
    <w:p w:rsidR="002C6F33" w:rsidRDefault="0040252E">
      <w:pPr>
        <w:rPr>
          <w:b/>
        </w:rPr>
      </w:pPr>
      <w:r>
        <w:rPr>
          <w:b/>
        </w:rPr>
        <w:t>P</w:t>
      </w:r>
      <w:r>
        <w:rPr>
          <w:b/>
        </w:rPr>
        <w:t>wr mw shumw informata</w:t>
      </w:r>
    </w:p>
    <w:p w:rsidR="002C6F33" w:rsidRDefault="0040252E">
      <w:pPr>
        <w:shd w:val="clear" w:color="auto" w:fill="FFFFFF"/>
        <w:spacing w:before="240" w:after="0" w:line="240" w:lineRule="auto"/>
        <w:jc w:val="both"/>
        <w:rPr>
          <w:i/>
          <w:color w:val="333333"/>
          <w:sz w:val="24"/>
          <w:szCs w:val="24"/>
        </w:rPr>
      </w:pPr>
      <w:r>
        <w:rPr>
          <w:i/>
          <w:color w:val="333333"/>
          <w:sz w:val="24"/>
          <w:szCs w:val="24"/>
          <w:highlight w:val="white"/>
        </w:rPr>
        <w:t xml:space="preserve">Maša Perović, Southeast Europe Communications Coordinator, Climate Action Network (CAN) Europe </w:t>
      </w:r>
      <w:r>
        <w:rPr>
          <w:i/>
          <w:color w:val="1155CC"/>
          <w:sz w:val="24"/>
          <w:szCs w:val="24"/>
          <w:highlight w:val="white"/>
        </w:rPr>
        <w:t>masha@caneurope.org</w:t>
      </w:r>
      <w:r>
        <w:rPr>
          <w:i/>
          <w:color w:val="333333"/>
          <w:sz w:val="24"/>
          <w:szCs w:val="24"/>
          <w:highlight w:val="white"/>
        </w:rPr>
        <w:t xml:space="preserve"> , +381 (0) 63 8411 566</w:t>
      </w:r>
    </w:p>
    <w:p w:rsidR="003A15AE" w:rsidRDefault="003A15AE">
      <w:pPr>
        <w:shd w:val="clear" w:color="auto" w:fill="FFFFFF"/>
        <w:spacing w:before="240" w:after="0" w:line="240" w:lineRule="auto"/>
        <w:jc w:val="both"/>
        <w:rPr>
          <w:rFonts w:ascii="Times New Roman" w:eastAsia="Times New Roman" w:hAnsi="Times New Roman" w:cs="Times New Roman"/>
          <w:sz w:val="24"/>
          <w:szCs w:val="24"/>
        </w:rPr>
      </w:pPr>
    </w:p>
    <w:p w:rsidR="002C6F33" w:rsidRDefault="0040252E">
      <w:pPr>
        <w:rPr>
          <w:i/>
          <w:color w:val="1155CC"/>
          <w:sz w:val="24"/>
          <w:szCs w:val="24"/>
          <w:highlight w:val="white"/>
        </w:rPr>
      </w:pPr>
      <w:r>
        <w:rPr>
          <w:i/>
          <w:color w:val="333333"/>
          <w:sz w:val="24"/>
          <w:szCs w:val="24"/>
          <w:highlight w:val="white"/>
        </w:rPr>
        <w:t xml:space="preserve">Viktor Berishaj, Southeast Europe Climate and Energy Policy Coordinator, Climate Action Network </w:t>
      </w:r>
      <w:r>
        <w:rPr>
          <w:i/>
          <w:color w:val="333333"/>
          <w:sz w:val="24"/>
          <w:szCs w:val="24"/>
          <w:highlight w:val="white"/>
        </w:rPr>
        <w:t xml:space="preserve">(CAN) Europe (English, Albanian) </w:t>
      </w:r>
      <w:hyperlink r:id="rId12">
        <w:r>
          <w:rPr>
            <w:i/>
            <w:color w:val="0563C1"/>
            <w:sz w:val="24"/>
            <w:szCs w:val="24"/>
            <w:highlight w:val="white"/>
            <w:u w:val="single"/>
          </w:rPr>
          <w:t>Viktor@caneurope.org</w:t>
        </w:r>
      </w:hyperlink>
    </w:p>
    <w:p w:rsidR="002C6F33" w:rsidRDefault="0040252E">
      <w:r>
        <w:rPr>
          <w:color w:val="1155CC"/>
          <w:sz w:val="24"/>
          <w:szCs w:val="24"/>
          <w:highlight w:val="white"/>
        </w:rPr>
        <w:t>-</w:t>
      </w:r>
      <w:r>
        <w:t xml:space="preserve"> - - - - - - - - - - - - - - --  -- - - - -- </w:t>
      </w:r>
    </w:p>
    <w:p w:rsidR="002C6F33" w:rsidRPr="003A15AE" w:rsidRDefault="0040252E">
      <w:pPr>
        <w:rPr>
          <w:b/>
        </w:rPr>
      </w:pPr>
      <w:r w:rsidRPr="003A15AE">
        <w:rPr>
          <w:b/>
        </w:rPr>
        <w:t>Climate Action Network (CAN) Europe është koalicioni kryesor i OJQ-ve në Europë që lufton ndryshimet klimati</w:t>
      </w:r>
      <w:r w:rsidRPr="003A15AE">
        <w:rPr>
          <w:b/>
        </w:rPr>
        <w:t>ke. Me mbi 170 organizata anëtare aktive nga 38 vende evropiane, që përfaqësojnë mbi 1.500 OJQ dhe më shumë se 47 milion qytetarë, CAN Europe promovon klimë të qëndrueshme, energji dhe politika zhvillimi në të gjithë Evropën.</w:t>
      </w:r>
    </w:p>
    <w:sectPr w:rsidR="002C6F33" w:rsidRPr="003A15AE">
      <w:headerReference w:type="default" r:id="rId13"/>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52E" w:rsidRDefault="0040252E">
      <w:pPr>
        <w:spacing w:after="0" w:line="240" w:lineRule="auto"/>
      </w:pPr>
      <w:r>
        <w:separator/>
      </w:r>
    </w:p>
  </w:endnote>
  <w:endnote w:type="continuationSeparator" w:id="0">
    <w:p w:rsidR="0040252E" w:rsidRDefault="00402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52E" w:rsidRDefault="0040252E">
      <w:pPr>
        <w:spacing w:after="0" w:line="240" w:lineRule="auto"/>
      </w:pPr>
      <w:r>
        <w:separator/>
      </w:r>
    </w:p>
  </w:footnote>
  <w:footnote w:type="continuationSeparator" w:id="0">
    <w:p w:rsidR="0040252E" w:rsidRDefault="004025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F33" w:rsidRDefault="0040252E">
    <w:r>
      <w:rPr>
        <w:noProof/>
        <w:lang w:val="en-US"/>
      </w:rPr>
      <w:drawing>
        <wp:anchor distT="114300" distB="114300" distL="114300" distR="114300" simplePos="0" relativeHeight="251658240" behindDoc="0" locked="0" layoutInCell="1" hidden="0" allowOverlap="1">
          <wp:simplePos x="0" y="0"/>
          <wp:positionH relativeFrom="page">
            <wp:posOffset>914400</wp:posOffset>
          </wp:positionH>
          <wp:positionV relativeFrom="page">
            <wp:posOffset>447675</wp:posOffset>
          </wp:positionV>
          <wp:extent cx="1192177" cy="1319213"/>
          <wp:effectExtent l="0" t="0" r="0" b="0"/>
          <wp:wrapTopAndBottom distT="114300" distB="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192177" cy="131921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F33"/>
    <w:rsid w:val="000F13E6"/>
    <w:rsid w:val="002C6F33"/>
    <w:rsid w:val="003A15AE"/>
    <w:rsid w:val="0040252E"/>
    <w:rsid w:val="00665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EF187"/>
  <w15:docId w15:val="{588852FA-6F95-404A-8BD3-25235032C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3012EF"/>
    <w:pPr>
      <w:ind w:left="720"/>
      <w:contextualSpacing/>
    </w:pPr>
  </w:style>
  <w:style w:type="paragraph" w:styleId="NormalWeb">
    <w:name w:val="Normal (Web)"/>
    <w:basedOn w:val="Normal"/>
    <w:uiPriority w:val="99"/>
    <w:semiHidden/>
    <w:unhideWhenUsed/>
    <w:rsid w:val="008B6757"/>
    <w:pPr>
      <w:spacing w:before="100" w:beforeAutospacing="1" w:after="100" w:afterAutospacing="1" w:line="240" w:lineRule="auto"/>
    </w:pPr>
    <w:rPr>
      <w:rFonts w:ascii="Times New Roman" w:eastAsia="Times New Roman" w:hAnsi="Times New Roman" w:cs="Times New Roman"/>
      <w:sz w:val="24"/>
      <w:szCs w:val="24"/>
      <w:lang/>
    </w:rPr>
  </w:style>
  <w:style w:type="character" w:styleId="Hyperlink">
    <w:name w:val="Hyperlink"/>
    <w:basedOn w:val="DefaultParagraphFont"/>
    <w:uiPriority w:val="99"/>
    <w:unhideWhenUsed/>
    <w:rsid w:val="008B6757"/>
    <w:rPr>
      <w:color w:val="0563C1" w:themeColor="hyperlink"/>
      <w:u w:val="single"/>
    </w:rPr>
  </w:style>
  <w:style w:type="character" w:customStyle="1" w:styleId="UnresolvedMention">
    <w:name w:val="Unresolved Mention"/>
    <w:basedOn w:val="DefaultParagraphFont"/>
    <w:uiPriority w:val="99"/>
    <w:semiHidden/>
    <w:unhideWhenUsed/>
    <w:rsid w:val="008B6757"/>
    <w:rPr>
      <w:color w:val="605E5C"/>
      <w:shd w:val="clear" w:color="auto" w:fill="E1DFD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caneurope.org/content/uploads/2021/07/WB-GHG2030-policy-and-recommendations_final_July-22021.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aneurope.org/content/uploads/2021/07/WB-GHG2030-policy-and-recommendations_final_July-22021-1.pdf" TargetMode="External"/><Relationship Id="rId12" Type="http://schemas.openxmlformats.org/officeDocument/2006/relationships/hyperlink" Target="mailto:Viktor@caneurope.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caneurope.org/content/uploads/2021/07/WB-GHG2030-policy-and-recommendations_final_July-22021.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pcc.ch/sr15/" TargetMode="External"/><Relationship Id="rId4" Type="http://schemas.openxmlformats.org/officeDocument/2006/relationships/webSettings" Target="webSettings.xml"/><Relationship Id="rId9" Type="http://schemas.openxmlformats.org/officeDocument/2006/relationships/hyperlink" Target="https://caneurope.org/report-eu-action-on-western-balkans-chronic-coal-pollution-is-a-unique-opportunity-to-improve-health-and-productiv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ZSb+N6FkvlVYP16PxjGVf4/GVg==">AMUW2mU9+brdjgOI9dkd+WonU1M375WGBB1emu3LlMP278S2a5x4cX9jZlA+i5VhmiAjmVJIhDGnYbvihXKC+sPdgVAr7KNbp4jN0B+OG7ARLGZishCWDi4=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Donika Rudi</dc:creator>
  <cp:lastModifiedBy>Maša</cp:lastModifiedBy>
  <cp:revision>4</cp:revision>
  <dcterms:created xsi:type="dcterms:W3CDTF">2021-07-05T10:40:00Z</dcterms:created>
  <dcterms:modified xsi:type="dcterms:W3CDTF">2021-07-05T10:43:00Z</dcterms:modified>
</cp:coreProperties>
</file>