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03A4" w:rsidRPr="0048463E" w:rsidRDefault="00F847BB" w:rsidP="000325BD">
      <w:pPr>
        <w:shd w:val="clear" w:color="auto" w:fill="002060"/>
        <w:spacing w:before="288" w:after="160" w:line="288" w:lineRule="auto"/>
        <w:jc w:val="center"/>
        <w:rPr>
          <w:rFonts w:eastAsia="Times New Roman"/>
          <w:b/>
          <w:sz w:val="24"/>
          <w:szCs w:val="24"/>
        </w:rPr>
      </w:pPr>
      <w:r w:rsidRPr="0048463E">
        <w:rPr>
          <w:rFonts w:eastAsia="Times New Roman"/>
          <w:b/>
          <w:sz w:val="24"/>
          <w:szCs w:val="24"/>
        </w:rPr>
        <w:t>BASIN BÜLTENİ</w:t>
      </w:r>
    </w:p>
    <w:p w:rsidR="009E03A4" w:rsidRPr="0048463E" w:rsidRDefault="009E03A4">
      <w:pPr>
        <w:rPr>
          <w:rFonts w:eastAsia="Times New Roman"/>
          <w:b/>
          <w:color w:val="1A2A2A"/>
          <w:sz w:val="28"/>
          <w:szCs w:val="28"/>
          <w:highlight w:val="white"/>
        </w:rPr>
      </w:pPr>
    </w:p>
    <w:p w:rsidR="009E03A4" w:rsidRPr="0048463E" w:rsidRDefault="0048463E">
      <w:pPr>
        <w:rPr>
          <w:rFonts w:eastAsia="Times New Roman"/>
          <w:b/>
          <w:color w:val="FF0000"/>
          <w:sz w:val="28"/>
          <w:szCs w:val="28"/>
          <w:highlight w:val="white"/>
        </w:rPr>
      </w:pPr>
      <w:hyperlink r:id="rId7" w:history="1">
        <w:r w:rsidRPr="0048463E">
          <w:rPr>
            <w:rStyle w:val="Hyperlink"/>
            <w:rFonts w:eastAsia="Times New Roman"/>
            <w:b/>
            <w:sz w:val="28"/>
            <w:szCs w:val="28"/>
            <w:highlight w:val="white"/>
          </w:rPr>
          <w:t>Press Release</w:t>
        </w:r>
        <w:r w:rsidR="000325BD">
          <w:rPr>
            <w:rStyle w:val="Hyperlink"/>
            <w:rFonts w:eastAsia="Times New Roman"/>
            <w:b/>
            <w:sz w:val="28"/>
            <w:szCs w:val="28"/>
            <w:highlight w:val="white"/>
          </w:rPr>
          <w:t xml:space="preserve"> and report</w:t>
        </w:r>
        <w:r w:rsidRPr="0048463E">
          <w:rPr>
            <w:rStyle w:val="Hyperlink"/>
            <w:rFonts w:eastAsia="Times New Roman"/>
            <w:b/>
            <w:sz w:val="28"/>
            <w:szCs w:val="28"/>
            <w:highlight w:val="white"/>
          </w:rPr>
          <w:t xml:space="preserve"> in English</w:t>
        </w:r>
      </w:hyperlink>
    </w:p>
    <w:p w:rsidR="009E03A4" w:rsidRPr="0048463E" w:rsidRDefault="009E03A4">
      <w:pPr>
        <w:rPr>
          <w:rFonts w:eastAsia="Times New Roman"/>
          <w:b/>
          <w:sz w:val="28"/>
          <w:szCs w:val="28"/>
        </w:rPr>
      </w:pPr>
    </w:p>
    <w:p w:rsidR="009E03A4" w:rsidRPr="0048463E" w:rsidRDefault="00F847BB">
      <w:pPr>
        <w:rPr>
          <w:rFonts w:eastAsia="Times New Roman"/>
          <w:b/>
          <w:sz w:val="28"/>
          <w:szCs w:val="28"/>
        </w:rPr>
      </w:pPr>
      <w:r w:rsidRPr="0048463E">
        <w:rPr>
          <w:rFonts w:eastAsia="Times New Roman"/>
          <w:b/>
          <w:sz w:val="28"/>
          <w:szCs w:val="28"/>
        </w:rPr>
        <w:t>Dünyada yapım ve planlama aşamasındaki kömürlü termik santral kapasitesi azaldı</w:t>
      </w:r>
    </w:p>
    <w:p w:rsidR="009E03A4" w:rsidRPr="0048463E" w:rsidRDefault="009E03A4">
      <w:pPr>
        <w:rPr>
          <w:rFonts w:eastAsia="Times New Roman"/>
          <w:sz w:val="24"/>
          <w:szCs w:val="24"/>
        </w:rPr>
      </w:pPr>
      <w:bookmarkStart w:id="0" w:name="_GoBack"/>
      <w:bookmarkEnd w:id="0"/>
    </w:p>
    <w:p w:rsidR="009E03A4" w:rsidRPr="000325BD" w:rsidRDefault="00F847BB">
      <w:pPr>
        <w:rPr>
          <w:rFonts w:eastAsia="Times New Roman"/>
        </w:rPr>
      </w:pPr>
      <w:r w:rsidRPr="000325BD">
        <w:rPr>
          <w:rFonts w:eastAsia="Times New Roman"/>
          <w:b/>
        </w:rPr>
        <w:t xml:space="preserve">İstanbul, 26 Nisan 2022 - </w:t>
      </w:r>
      <w:r w:rsidRPr="000325BD">
        <w:rPr>
          <w:rFonts w:eastAsia="Times New Roman"/>
        </w:rPr>
        <w:t xml:space="preserve">Global Energy Monitor'ün bu yıl sekizincisini yayımladığı ‘‘Yükseliş ve Çöküş 2022: Kömürlü Termik Santrallerin Küresel Takibi’’ raporuna göre, yapımı süren ve planlanan kömürlü termik santral kapasitesi 2021 yılında </w:t>
      </w:r>
      <w:r w:rsidRPr="000325BD">
        <w:rPr>
          <w:rFonts w:eastAsia="Times New Roman"/>
          <w:b/>
        </w:rPr>
        <w:t>yüzde 13 oranında azaldı.</w:t>
      </w:r>
      <w:r w:rsidRPr="000325BD">
        <w:rPr>
          <w:rFonts w:eastAsia="Times New Roman"/>
        </w:rPr>
        <w:t xml:space="preserve"> </w:t>
      </w:r>
    </w:p>
    <w:p w:rsidR="009E03A4" w:rsidRPr="000325BD" w:rsidRDefault="009E03A4">
      <w:pPr>
        <w:rPr>
          <w:rFonts w:eastAsia="Times New Roman"/>
        </w:rPr>
      </w:pPr>
    </w:p>
    <w:p w:rsidR="009E03A4" w:rsidRPr="000325BD" w:rsidRDefault="00F847BB">
      <w:pPr>
        <w:rPr>
          <w:rFonts w:eastAsia="Times New Roman"/>
        </w:rPr>
      </w:pPr>
      <w:r w:rsidRPr="000325BD">
        <w:rPr>
          <w:rFonts w:eastAsia="Times New Roman"/>
        </w:rPr>
        <w:t xml:space="preserve">Söz konusu </w:t>
      </w:r>
      <w:r w:rsidRPr="000325BD">
        <w:rPr>
          <w:rFonts w:eastAsia="Times New Roman"/>
        </w:rPr>
        <w:t>azalma olumlu da olsa, Hükümetlerarası İklim Değişikliği Paneli’nin (IPCC) 2030 yılına kadar kömür kullanımının 2019’a oranla yüzde 75 azaltılması gerektiğini ortaya koyan tavsiyesi için yeterli değil. İklim biliminin açıkça gösterdiği gibi önümüzdeki on y</w:t>
      </w:r>
      <w:r w:rsidRPr="000325BD">
        <w:rPr>
          <w:rFonts w:eastAsia="Times New Roman"/>
        </w:rPr>
        <w:t xml:space="preserve">ıl içinde kömürü azaltmak için daha hızlı hareket edilmesi gerekiyor. </w:t>
      </w:r>
    </w:p>
    <w:p w:rsidR="009E03A4" w:rsidRPr="000325BD" w:rsidRDefault="009E03A4">
      <w:pPr>
        <w:rPr>
          <w:rFonts w:eastAsia="Times New Roman"/>
        </w:rPr>
      </w:pPr>
    </w:p>
    <w:p w:rsidR="009E03A4" w:rsidRPr="000325BD" w:rsidRDefault="00F847BB">
      <w:pPr>
        <w:rPr>
          <w:rFonts w:eastAsia="Times New Roman"/>
        </w:rPr>
      </w:pPr>
      <w:r w:rsidRPr="000325BD">
        <w:rPr>
          <w:rFonts w:eastAsia="Times New Roman"/>
        </w:rPr>
        <w:t>Çin, Güney Kore ve Japonya, ülke dışındaki kömürlü termik santral projelerine finans sağlamama sözü verdi; bu önemli bir adım. Ancak Çin, dünyanın geri kalanının toplamından daha fazla</w:t>
      </w:r>
      <w:r w:rsidRPr="000325BD">
        <w:rPr>
          <w:rFonts w:eastAsia="Times New Roman"/>
        </w:rPr>
        <w:t xml:space="preserve"> termik santral projesi devreye alarak küresel çabayı gölgeliyor. </w:t>
      </w:r>
    </w:p>
    <w:p w:rsidR="009E03A4" w:rsidRPr="000325BD" w:rsidRDefault="009E03A4">
      <w:pPr>
        <w:rPr>
          <w:rFonts w:eastAsia="Times New Roman"/>
        </w:rPr>
      </w:pPr>
    </w:p>
    <w:p w:rsidR="009E03A4" w:rsidRPr="000325BD" w:rsidRDefault="00F847BB">
      <w:pPr>
        <w:rPr>
          <w:rFonts w:eastAsia="Times New Roman"/>
          <w:b/>
        </w:rPr>
      </w:pPr>
      <w:r w:rsidRPr="000325BD">
        <w:rPr>
          <w:rFonts w:eastAsia="Times New Roman"/>
          <w:b/>
        </w:rPr>
        <w:t xml:space="preserve">Türkiye’de “kılçıksız yatırım modeli” bile piyasada karşılık bulmadı </w:t>
      </w:r>
    </w:p>
    <w:p w:rsidR="009E03A4" w:rsidRPr="000325BD" w:rsidRDefault="009E03A4">
      <w:pPr>
        <w:rPr>
          <w:rFonts w:eastAsia="Times New Roman"/>
        </w:rPr>
      </w:pPr>
    </w:p>
    <w:p w:rsidR="009E03A4" w:rsidRPr="000325BD" w:rsidRDefault="00F847BB">
      <w:pPr>
        <w:rPr>
          <w:rFonts w:eastAsia="Times New Roman"/>
        </w:rPr>
      </w:pPr>
      <w:r w:rsidRPr="000325BD">
        <w:rPr>
          <w:rFonts w:eastAsia="Times New Roman"/>
        </w:rPr>
        <w:t>2010’dan beri toplam 87 GW’lık kömürlü termik santral planı iptal edilen Türkiye’de kömür santrali proje stoku küçül</w:t>
      </w:r>
      <w:r w:rsidRPr="000325BD">
        <w:rPr>
          <w:rFonts w:eastAsia="Times New Roman"/>
        </w:rPr>
        <w:t>meye devam etti. 2021 yılında da 10,6 GW’lık kömürlü termik santral planı iptal edildi. Türkiye’de inşaatı devam eden ve devreye alınan santrallerin uluslararası</w:t>
      </w:r>
    </w:p>
    <w:p w:rsidR="009E03A4" w:rsidRPr="000325BD" w:rsidRDefault="00F847BB">
      <w:pPr>
        <w:rPr>
          <w:rFonts w:eastAsia="Times New Roman"/>
        </w:rPr>
      </w:pPr>
      <w:r w:rsidRPr="000325BD">
        <w:rPr>
          <w:rFonts w:eastAsia="Times New Roman"/>
        </w:rPr>
        <w:t>finansman alan santraller olduğu düşünüldüğünde, Çin ve G20 ülkelerinin yeni kömür santrali finansmanını durdurma taahhütleri, Türkiye’de yeni projelerin finansman bulmasını zorlaştıracak.</w:t>
      </w:r>
    </w:p>
    <w:p w:rsidR="009E03A4" w:rsidRPr="000325BD" w:rsidRDefault="009E03A4">
      <w:pPr>
        <w:rPr>
          <w:rFonts w:eastAsia="Times New Roman"/>
          <w:b/>
        </w:rPr>
      </w:pPr>
    </w:p>
    <w:p w:rsidR="009E03A4" w:rsidRPr="000325BD" w:rsidRDefault="00F847BB">
      <w:pPr>
        <w:rPr>
          <w:rFonts w:eastAsia="Times New Roman"/>
        </w:rPr>
      </w:pPr>
      <w:r w:rsidRPr="000325BD">
        <w:rPr>
          <w:rFonts w:eastAsia="Times New Roman"/>
        </w:rPr>
        <w:t>Kamu idaresinin desteğine rağmen, elektrik lisansı olan kömür sant</w:t>
      </w:r>
      <w:r w:rsidRPr="000325BD">
        <w:rPr>
          <w:rFonts w:eastAsia="Times New Roman"/>
        </w:rPr>
        <w:t>rali projeleri bile iptal oluyor. Özellikle Çayırhan B santralinin iptal edilmesi ayrı bir önem taşıyor, zira bu santral Enerji Bakanlığı’nın “kılçıksız yatırım” modelinin, yani kömürlü termik santrallerin tüm gerekli yasal izinler Enerji ve Tabii Kaynakla</w:t>
      </w:r>
      <w:r w:rsidRPr="000325BD">
        <w:rPr>
          <w:rFonts w:eastAsia="Times New Roman"/>
        </w:rPr>
        <w:t>r Bakanlığı tarafından alındıktan sonra yatırıma hazır bir şekilde ihaleye açılması modelinin ilk projesiydi.</w:t>
      </w:r>
    </w:p>
    <w:p w:rsidR="009E03A4" w:rsidRPr="000325BD" w:rsidRDefault="009E03A4">
      <w:pPr>
        <w:rPr>
          <w:rFonts w:eastAsia="Times New Roman"/>
        </w:rPr>
      </w:pPr>
    </w:p>
    <w:p w:rsidR="009E03A4" w:rsidRPr="000325BD" w:rsidRDefault="00F847BB">
      <w:pPr>
        <w:rPr>
          <w:rFonts w:eastAsia="Times New Roman"/>
        </w:rPr>
      </w:pPr>
      <w:r w:rsidRPr="000325BD">
        <w:rPr>
          <w:rFonts w:eastAsia="Times New Roman"/>
        </w:rPr>
        <w:t xml:space="preserve">Raporun öne çıkan bulguları şöyle: </w:t>
      </w:r>
    </w:p>
    <w:p w:rsidR="009E03A4" w:rsidRPr="000325BD" w:rsidRDefault="009E03A4">
      <w:pPr>
        <w:rPr>
          <w:rFonts w:eastAsia="Times New Roman"/>
        </w:rPr>
      </w:pPr>
    </w:p>
    <w:p w:rsidR="009E03A4" w:rsidRPr="000325BD" w:rsidRDefault="00F847BB">
      <w:pPr>
        <w:numPr>
          <w:ilvl w:val="0"/>
          <w:numId w:val="3"/>
        </w:numPr>
        <w:rPr>
          <w:rFonts w:eastAsia="Times New Roman"/>
        </w:rPr>
      </w:pPr>
      <w:r w:rsidRPr="000325BD">
        <w:rPr>
          <w:rFonts w:eastAsia="Times New Roman"/>
        </w:rPr>
        <w:t>Kapanma tarihi belirlenen kömür santrali sayısı 2021 yılında bir önceki yıla göre neredeyse iki misli artara</w:t>
      </w:r>
      <w:r w:rsidRPr="000325BD">
        <w:rPr>
          <w:rFonts w:eastAsia="Times New Roman"/>
        </w:rPr>
        <w:t>k 750’ye çıktı (550 GW).</w:t>
      </w:r>
    </w:p>
    <w:p w:rsidR="009E03A4" w:rsidRPr="000325BD" w:rsidRDefault="009E03A4">
      <w:pPr>
        <w:rPr>
          <w:rFonts w:eastAsia="Times New Roman"/>
        </w:rPr>
      </w:pPr>
    </w:p>
    <w:p w:rsidR="009E03A4" w:rsidRPr="000325BD" w:rsidRDefault="00F847BB">
      <w:pPr>
        <w:numPr>
          <w:ilvl w:val="0"/>
          <w:numId w:val="2"/>
        </w:numPr>
        <w:rPr>
          <w:rFonts w:eastAsia="Times New Roman"/>
        </w:rPr>
      </w:pPr>
      <w:r w:rsidRPr="000325BD">
        <w:rPr>
          <w:rFonts w:eastAsia="Times New Roman"/>
        </w:rPr>
        <w:t xml:space="preserve">Yapım ve planlama aşamasındaki toplam kömürlü termik santral kapasitesi, 2015 yılından beri ilk defa 2020 yılında artmıştı, 2021 yılında ise yüzde 13 oranında azalarak 525 GW’tan 457 GW'a düştü. </w:t>
      </w:r>
    </w:p>
    <w:p w:rsidR="009E03A4" w:rsidRPr="000325BD" w:rsidRDefault="009E03A4">
      <w:pPr>
        <w:rPr>
          <w:rFonts w:eastAsia="Times New Roman"/>
        </w:rPr>
      </w:pPr>
    </w:p>
    <w:p w:rsidR="009E03A4" w:rsidRPr="000325BD" w:rsidRDefault="00F847BB">
      <w:pPr>
        <w:numPr>
          <w:ilvl w:val="0"/>
          <w:numId w:val="5"/>
        </w:numPr>
        <w:rPr>
          <w:rFonts w:eastAsia="Times New Roman"/>
        </w:rPr>
      </w:pPr>
      <w:r w:rsidRPr="000325BD">
        <w:rPr>
          <w:rFonts w:eastAsia="Times New Roman"/>
        </w:rPr>
        <w:t>Covid-19 sonrası toparlanma yılı olan 2021’de dünyada 45 GW kömürlü termik santral kapasitesi işletmeye alındı, 26,8 GW emekli edildi, böylelikle küresel kömürlü termik santral filosunda 18,2 GW’lik net bir büyüme yaşandı.</w:t>
      </w:r>
    </w:p>
    <w:p w:rsidR="009E03A4" w:rsidRPr="000325BD" w:rsidRDefault="009E03A4">
      <w:pPr>
        <w:ind w:left="720"/>
        <w:rPr>
          <w:rFonts w:eastAsia="Times New Roman"/>
        </w:rPr>
      </w:pPr>
    </w:p>
    <w:p w:rsidR="009E03A4" w:rsidRPr="000325BD" w:rsidRDefault="00F847BB">
      <w:pPr>
        <w:numPr>
          <w:ilvl w:val="0"/>
          <w:numId w:val="5"/>
        </w:numPr>
        <w:rPr>
          <w:rFonts w:eastAsia="Times New Roman"/>
        </w:rPr>
      </w:pPr>
      <w:r w:rsidRPr="000325BD">
        <w:rPr>
          <w:rFonts w:eastAsia="Times New Roman"/>
        </w:rPr>
        <w:t xml:space="preserve">Yeni işletmeye alınan 45 GW’lık </w:t>
      </w:r>
      <w:r w:rsidRPr="000325BD">
        <w:rPr>
          <w:rFonts w:eastAsia="Times New Roman"/>
        </w:rPr>
        <w:t xml:space="preserve">santralin yarısından fazlası (yüzde 56) Çin’deydi. Çin’i hariç tutarsak küresel kömür filosu, art arda dördüncü yılda da küçülmeye devam etti.  </w:t>
      </w:r>
    </w:p>
    <w:p w:rsidR="009E03A4" w:rsidRPr="000325BD" w:rsidRDefault="00F847BB">
      <w:pPr>
        <w:numPr>
          <w:ilvl w:val="0"/>
          <w:numId w:val="6"/>
        </w:numPr>
        <w:spacing w:before="200" w:line="240" w:lineRule="auto"/>
        <w:rPr>
          <w:rFonts w:eastAsia="Times New Roman"/>
          <w:highlight w:val="white"/>
        </w:rPr>
      </w:pPr>
      <w:r w:rsidRPr="000325BD">
        <w:rPr>
          <w:rFonts w:eastAsia="Times New Roman"/>
          <w:highlight w:val="white"/>
        </w:rPr>
        <w:t>ABD’de 2019'da 16,1 GW, 2020'de 11,6 GW kapasite kapatılırken, 2021'de  bu miktar tahmini 6,4 GW ila 9 GW arası</w:t>
      </w:r>
      <w:r w:rsidRPr="000325BD">
        <w:rPr>
          <w:rFonts w:eastAsia="Times New Roman"/>
          <w:highlight w:val="white"/>
        </w:rPr>
        <w:t xml:space="preserve">nda oldu. ABD’nin ulusal iklim ve enerji hedeflerini tutturması için kömürden çıkışını hızlandırması gerekiyor. </w:t>
      </w:r>
    </w:p>
    <w:p w:rsidR="009E03A4" w:rsidRPr="000325BD" w:rsidRDefault="00F847BB">
      <w:pPr>
        <w:numPr>
          <w:ilvl w:val="0"/>
          <w:numId w:val="6"/>
        </w:numPr>
        <w:spacing w:before="200" w:line="240" w:lineRule="auto"/>
        <w:rPr>
          <w:rFonts w:eastAsia="Times New Roman"/>
          <w:highlight w:val="white"/>
        </w:rPr>
      </w:pPr>
      <w:r w:rsidRPr="000325BD">
        <w:rPr>
          <w:rFonts w:eastAsia="Times New Roman"/>
          <w:highlight w:val="white"/>
        </w:rPr>
        <w:t xml:space="preserve">27 Avrupa Birliği ülkesi 2021’de rekor düzeyde termik santral kapattı. AB içinde termik santral kapatma konusunda öncü ülkeler </w:t>
      </w:r>
      <w:r w:rsidRPr="000325BD">
        <w:rPr>
          <w:rFonts w:eastAsia="Times New Roman"/>
        </w:rPr>
        <w:t>Almanya (5,8 GW)</w:t>
      </w:r>
      <w:r w:rsidRPr="000325BD">
        <w:rPr>
          <w:rFonts w:eastAsia="Times New Roman"/>
        </w:rPr>
        <w:t xml:space="preserve">, İspanya (1,7 GW) ve Portekiz (1,9 GW) oldu. Portekiz, son kömürlü termik santralini hedeflediği 2030 yılından 9 yıl önce, Kasım 2021’de kapatarak kömürsüz ülkelerden oldu. </w:t>
      </w:r>
    </w:p>
    <w:p w:rsidR="009E03A4" w:rsidRPr="000325BD" w:rsidRDefault="009E03A4">
      <w:pPr>
        <w:ind w:left="720"/>
        <w:rPr>
          <w:rFonts w:eastAsia="Times New Roman"/>
        </w:rPr>
      </w:pPr>
    </w:p>
    <w:p w:rsidR="009E03A4" w:rsidRPr="000325BD" w:rsidRDefault="00F847BB">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rPr>
      </w:pPr>
      <w:r w:rsidRPr="000325BD">
        <w:rPr>
          <w:rFonts w:eastAsia="Times New Roman"/>
        </w:rPr>
        <w:t>Kömüre dayalı elektrik üretiminde ise, Covid-19 pandemisinin başladığı 2020 yılı</w:t>
      </w:r>
      <w:r w:rsidRPr="000325BD">
        <w:rPr>
          <w:rFonts w:eastAsia="Times New Roman"/>
        </w:rPr>
        <w:t>ndaki yüzde 4 düşüşün ardından, 2021 yılında yüzde 9’luk rekor bir artış yaşandı.</w:t>
      </w:r>
    </w:p>
    <w:p w:rsidR="009E03A4" w:rsidRPr="000325BD" w:rsidRDefault="009E03A4"/>
    <w:p w:rsidR="009E03A4" w:rsidRPr="000325BD" w:rsidRDefault="00F847BB">
      <w:pPr>
        <w:spacing w:before="240" w:after="240"/>
        <w:rPr>
          <w:rFonts w:eastAsia="Times New Roman"/>
          <w:color w:val="1A2A2A"/>
          <w:highlight w:val="white"/>
        </w:rPr>
      </w:pPr>
      <w:r w:rsidRPr="000325BD">
        <w:rPr>
          <w:rFonts w:eastAsia="Times New Roman"/>
          <w:b/>
          <w:color w:val="1A2A2A"/>
          <w:highlight w:val="white"/>
        </w:rPr>
        <w:t>Ekosfer Derneği Yönetim Kurulu Üyesi Barış Eceçelik:</w:t>
      </w:r>
      <w:r w:rsidRPr="000325BD">
        <w:rPr>
          <w:rFonts w:eastAsia="Times New Roman"/>
          <w:color w:val="1A2A2A"/>
          <w:highlight w:val="white"/>
        </w:rPr>
        <w:t xml:space="preserve"> Avrupa'da kömürlü termik santrallarını kapatmak için tarih belirlemeyen dört ülkeden biri Türkiye. Türkiye'nin kömür san</w:t>
      </w:r>
      <w:r w:rsidRPr="000325BD">
        <w:rPr>
          <w:rFonts w:eastAsia="Times New Roman"/>
          <w:color w:val="1A2A2A"/>
          <w:highlight w:val="white"/>
        </w:rPr>
        <w:t xml:space="preserve">trallarından tamamen kurtulacağı günü bir an önce ilan etmesi, sadece iklim, sağlık ve çevre için değil ekonomi için de büyük önem taşıyor. Artan kömür fiyatları, dış finansman seçeneklerinin kaybolması ve kömürden daha ucuza elektrik üreten yenilenebilir </w:t>
      </w:r>
      <w:r w:rsidRPr="000325BD">
        <w:rPr>
          <w:rFonts w:eastAsia="Times New Roman"/>
          <w:color w:val="1A2A2A"/>
          <w:highlight w:val="white"/>
        </w:rPr>
        <w:t xml:space="preserve">enerji kaynakları kömürden vazgeçme kararını destekliyor. </w:t>
      </w:r>
    </w:p>
    <w:p w:rsidR="009E03A4" w:rsidRPr="000325BD" w:rsidRDefault="00F847BB">
      <w:pPr>
        <w:spacing w:before="240" w:after="240"/>
        <w:rPr>
          <w:rFonts w:eastAsia="Times New Roman"/>
          <w:color w:val="1A2A2A"/>
          <w:highlight w:val="white"/>
        </w:rPr>
      </w:pPr>
      <w:r w:rsidRPr="000325BD">
        <w:rPr>
          <w:rFonts w:eastAsia="Times New Roman"/>
          <w:b/>
          <w:color w:val="1A2A2A"/>
          <w:highlight w:val="white"/>
        </w:rPr>
        <w:t>Avrupa İklim Eylem Ağı (CAN Europe) Türkiye İklim ve Enerji Politikaları Koordinatörü Özlem Katısöz:</w:t>
      </w:r>
      <w:r w:rsidRPr="000325BD">
        <w:rPr>
          <w:rFonts w:eastAsia="Times New Roman"/>
          <w:color w:val="1A2A2A"/>
          <w:highlight w:val="white"/>
        </w:rPr>
        <w:t xml:space="preserve">  Türkiye'de yeni kömürlü termik santrallere ne özel sektör ilgisi ne de halk desteği var. Var ol</w:t>
      </w:r>
      <w:r w:rsidRPr="000325BD">
        <w:rPr>
          <w:rFonts w:eastAsia="Times New Roman"/>
          <w:color w:val="1A2A2A"/>
          <w:highlight w:val="white"/>
        </w:rPr>
        <w:t>an kömür kapasitesi teşviklerle ve karbon maliyetini ödemediği için ayakta kalabiliyor. İklim ve enerji alanındaki karar vericiler,  küresel iklim eylemine paralel, akılcı ve sorumlu bir adım atmak istiyorsa, COP27’ye kadar “yeni kömür santrali inşa etmeme</w:t>
      </w:r>
      <w:r w:rsidRPr="000325BD">
        <w:rPr>
          <w:rFonts w:eastAsia="Times New Roman"/>
          <w:color w:val="1A2A2A"/>
          <w:highlight w:val="white"/>
        </w:rPr>
        <w:t xml:space="preserve">” kararı açıklamalı ve “kömürden çıkış” için bir tarihi belirlemeli. </w:t>
      </w:r>
    </w:p>
    <w:p w:rsidR="009E03A4" w:rsidRPr="000325BD" w:rsidRDefault="00F847BB">
      <w:pPr>
        <w:spacing w:before="240" w:after="240"/>
        <w:rPr>
          <w:rFonts w:eastAsia="Times New Roman"/>
          <w:b/>
          <w:color w:val="1A2A2A"/>
          <w:highlight w:val="white"/>
        </w:rPr>
      </w:pPr>
      <w:r w:rsidRPr="000325BD">
        <w:rPr>
          <w:rFonts w:eastAsia="Times New Roman"/>
          <w:b/>
          <w:color w:val="1A2A2A"/>
          <w:highlight w:val="white"/>
        </w:rPr>
        <w:t>Kömürün Ötesinde Avrupa (Europe Beyond Coal) Kampanyacısı Duygu Kutluay:</w:t>
      </w:r>
    </w:p>
    <w:p w:rsidR="009E03A4" w:rsidRPr="000325BD" w:rsidRDefault="00F847BB">
      <w:pPr>
        <w:spacing w:before="240" w:after="240"/>
        <w:rPr>
          <w:rFonts w:eastAsia="Times New Roman"/>
          <w:color w:val="1A2A2A"/>
          <w:highlight w:val="white"/>
        </w:rPr>
      </w:pPr>
      <w:r w:rsidRPr="000325BD">
        <w:rPr>
          <w:rFonts w:eastAsia="Times New Roman"/>
          <w:color w:val="1A2A2A"/>
          <w:highlight w:val="white"/>
        </w:rPr>
        <w:t>Dünya kömürü geride bırakıp yenilenebilir enerjiye geçişin faydalarından yararlanmaya başlamışken Türkiye’nin kömür sektörünü ayakta tutmak için kamu kaynaklarını israf etmekten bir an önce vazgeçmesi, kömürden çıkışı planlaması lazım. Son raporumuza göre,</w:t>
      </w:r>
      <w:r w:rsidRPr="000325BD">
        <w:rPr>
          <w:rFonts w:eastAsia="Times New Roman"/>
          <w:color w:val="1A2A2A"/>
          <w:highlight w:val="white"/>
        </w:rPr>
        <w:t xml:space="preserve"> kömüre </w:t>
      </w:r>
      <w:r w:rsidRPr="000325BD">
        <w:rPr>
          <w:rFonts w:eastAsia="Times New Roman"/>
          <w:color w:val="1A2A2A"/>
          <w:highlight w:val="white"/>
        </w:rPr>
        <w:lastRenderedPageBreak/>
        <w:t xml:space="preserve">verilen kamu desteklerinin sonlandırılması ve kirletme bedelinin santrallere yüklenmesi durumunda Türkiye’de de en geç 2030 yılına kadar kömürü elektrik üretiminden çıkarmak mümkün. </w:t>
      </w:r>
    </w:p>
    <w:p w:rsidR="009E03A4" w:rsidRPr="000325BD" w:rsidRDefault="00F847BB">
      <w:pPr>
        <w:spacing w:before="240" w:after="240"/>
        <w:rPr>
          <w:rFonts w:eastAsia="Times New Roman"/>
          <w:b/>
        </w:rPr>
      </w:pPr>
      <w:r w:rsidRPr="000325BD">
        <w:rPr>
          <w:rFonts w:eastAsia="Times New Roman"/>
          <w:b/>
        </w:rPr>
        <w:t>Detaylı bilgi için:</w:t>
      </w:r>
    </w:p>
    <w:p w:rsidR="009E03A4" w:rsidRPr="000325BD" w:rsidRDefault="009E03A4">
      <w:pPr>
        <w:rPr>
          <w:rFonts w:eastAsia="Times New Roman"/>
        </w:rPr>
      </w:pPr>
    </w:p>
    <w:p w:rsidR="009E03A4" w:rsidRPr="000325BD" w:rsidRDefault="00F847BB">
      <w:pPr>
        <w:rPr>
          <w:rFonts w:eastAsia="Times New Roman"/>
          <w:highlight w:val="white"/>
        </w:rPr>
      </w:pPr>
      <w:r w:rsidRPr="000325BD">
        <w:rPr>
          <w:rFonts w:eastAsia="Times New Roman"/>
        </w:rPr>
        <w:t>Nilay Vardar, Europe Beyond Coal İletişim Da</w:t>
      </w:r>
      <w:r w:rsidRPr="000325BD">
        <w:rPr>
          <w:rFonts w:eastAsia="Times New Roman"/>
        </w:rPr>
        <w:t>nışmanı, nilay@beyond-coal.eu, 05333108998</w:t>
      </w:r>
    </w:p>
    <w:p w:rsidR="009E03A4" w:rsidRPr="000325BD" w:rsidRDefault="009E03A4">
      <w:pPr>
        <w:spacing w:before="120" w:line="288" w:lineRule="auto"/>
        <w:jc w:val="both"/>
        <w:rPr>
          <w:rFonts w:eastAsia="Times New Roman"/>
          <w:b/>
        </w:rPr>
      </w:pPr>
    </w:p>
    <w:p w:rsidR="009E03A4" w:rsidRPr="000325BD" w:rsidRDefault="00F847BB">
      <w:pPr>
        <w:spacing w:before="120" w:line="288" w:lineRule="auto"/>
        <w:jc w:val="both"/>
        <w:rPr>
          <w:rFonts w:eastAsia="Times New Roman"/>
          <w:b/>
        </w:rPr>
      </w:pPr>
      <w:r w:rsidRPr="000325BD">
        <w:rPr>
          <w:rFonts w:eastAsia="Times New Roman"/>
          <w:b/>
        </w:rPr>
        <w:t>Editöre notlar:</w:t>
      </w:r>
    </w:p>
    <w:p w:rsidR="009E03A4" w:rsidRPr="000325BD" w:rsidRDefault="00F847BB">
      <w:pPr>
        <w:spacing w:before="120" w:line="288" w:lineRule="auto"/>
        <w:jc w:val="both"/>
        <w:rPr>
          <w:rFonts w:eastAsia="Times New Roman"/>
          <w:b/>
        </w:rPr>
      </w:pPr>
      <w:r w:rsidRPr="000325BD">
        <w:rPr>
          <w:rFonts w:eastAsia="Times New Roman"/>
          <w:b/>
        </w:rPr>
        <w:t>​​</w:t>
      </w:r>
    </w:p>
    <w:p w:rsidR="009E03A4" w:rsidRPr="000325BD" w:rsidRDefault="00F847BB">
      <w:pPr>
        <w:numPr>
          <w:ilvl w:val="0"/>
          <w:numId w:val="4"/>
        </w:numPr>
        <w:spacing w:before="120" w:line="288" w:lineRule="auto"/>
        <w:jc w:val="both"/>
        <w:rPr>
          <w:rFonts w:eastAsia="Times New Roman"/>
        </w:rPr>
      </w:pPr>
      <w:r w:rsidRPr="000325BD">
        <w:rPr>
          <w:rFonts w:eastAsia="Times New Roman"/>
        </w:rPr>
        <w:t>Raporun Türkçesi ve İngilizcesine ulaşmak için</w:t>
      </w:r>
      <w:r w:rsidRPr="000325BD">
        <w:rPr>
          <w:rFonts w:eastAsia="Times New Roman"/>
          <w:b/>
        </w:rPr>
        <w:t xml:space="preserve"> </w:t>
      </w:r>
      <w:hyperlink r:id="rId8">
        <w:r w:rsidRPr="000325BD">
          <w:rPr>
            <w:rFonts w:eastAsia="Times New Roman"/>
            <w:b/>
            <w:color w:val="1155CC"/>
            <w:u w:val="single"/>
          </w:rPr>
          <w:t xml:space="preserve">tıklayın. </w:t>
        </w:r>
      </w:hyperlink>
    </w:p>
    <w:p w:rsidR="009E03A4" w:rsidRPr="0048463E" w:rsidRDefault="009E03A4">
      <w:pPr>
        <w:rPr>
          <w:rFonts w:eastAsia="Times New Roman"/>
          <w:sz w:val="24"/>
          <w:szCs w:val="24"/>
        </w:rPr>
      </w:pPr>
    </w:p>
    <w:p w:rsidR="009E03A4" w:rsidRPr="0048463E" w:rsidRDefault="009E03A4">
      <w:pPr>
        <w:rPr>
          <w:rFonts w:eastAsia="Times New Roman"/>
          <w:sz w:val="24"/>
          <w:szCs w:val="24"/>
        </w:rPr>
      </w:pPr>
    </w:p>
    <w:sectPr w:rsidR="009E03A4" w:rsidRPr="0048463E" w:rsidSect="00B9566A">
      <w:headerReference w:type="first" r:id="rId9"/>
      <w:pgSz w:w="12240" w:h="15840"/>
      <w:pgMar w:top="1440" w:right="1440" w:bottom="1440" w:left="1440" w:header="9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47BB" w:rsidRDefault="00F847BB">
      <w:pPr>
        <w:spacing w:line="240" w:lineRule="auto"/>
      </w:pPr>
      <w:r>
        <w:separator/>
      </w:r>
    </w:p>
  </w:endnote>
  <w:endnote w:type="continuationSeparator" w:id="0">
    <w:p w:rsidR="00F847BB" w:rsidRDefault="00F847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47BB" w:rsidRDefault="00F847BB">
      <w:pPr>
        <w:spacing w:line="240" w:lineRule="auto"/>
      </w:pPr>
      <w:r>
        <w:separator/>
      </w:r>
    </w:p>
  </w:footnote>
  <w:footnote w:type="continuationSeparator" w:id="0">
    <w:p w:rsidR="00F847BB" w:rsidRDefault="00F847B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03A4" w:rsidRDefault="000325BD" w:rsidP="000325BD">
    <w:pPr>
      <w:jc w:val="center"/>
    </w:pPr>
    <w:r>
      <w:rPr>
        <w:rFonts w:ascii="Times New Roman" w:eastAsia="Times New Roman" w:hAnsi="Times New Roman" w:cs="Times New Roman"/>
        <w:b/>
        <w:noProof/>
        <w:color w:val="1A2A2A"/>
        <w:sz w:val="24"/>
        <w:szCs w:val="24"/>
        <w:highlight w:val="white"/>
        <w:lang w:val="en-US"/>
      </w:rPr>
      <w:drawing>
        <wp:anchor distT="0" distB="0" distL="114300" distR="114300" simplePos="0" relativeHeight="251659264" behindDoc="1" locked="0" layoutInCell="1" allowOverlap="1" wp14:anchorId="1A37498B" wp14:editId="560D1045">
          <wp:simplePos x="0" y="0"/>
          <wp:positionH relativeFrom="column">
            <wp:posOffset>3962400</wp:posOffset>
          </wp:positionH>
          <wp:positionV relativeFrom="paragraph">
            <wp:posOffset>457200</wp:posOffset>
          </wp:positionV>
          <wp:extent cx="1798320" cy="652145"/>
          <wp:effectExtent l="0" t="0" r="0" b="0"/>
          <wp:wrapTight wrapText="bothSides">
            <wp:wrapPolygon edited="0">
              <wp:start x="13500" y="1262"/>
              <wp:lineTo x="3890" y="3155"/>
              <wp:lineTo x="0" y="5679"/>
              <wp:lineTo x="0" y="17036"/>
              <wp:lineTo x="5263" y="20191"/>
              <wp:lineTo x="11898" y="20822"/>
              <wp:lineTo x="13042" y="20822"/>
              <wp:lineTo x="21051" y="18298"/>
              <wp:lineTo x="21280" y="16405"/>
              <wp:lineTo x="20136" y="12619"/>
              <wp:lineTo x="20593" y="6310"/>
              <wp:lineTo x="19220" y="3155"/>
              <wp:lineTo x="15559" y="1262"/>
              <wp:lineTo x="13500" y="1262"/>
            </wp:wrapPolygon>
          </wp:wrapTight>
          <wp:docPr id="2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798320" cy="652145"/>
                  </a:xfrm>
                  <a:prstGeom prst="rect">
                    <a:avLst/>
                  </a:prstGeom>
                  <a:ln/>
                </pic:spPr>
              </pic:pic>
            </a:graphicData>
          </a:graphic>
        </wp:anchor>
      </w:drawing>
    </w:r>
    <w:r>
      <w:rPr>
        <w:rFonts w:ascii="Times New Roman" w:eastAsia="Times New Roman" w:hAnsi="Times New Roman" w:cs="Times New Roman"/>
        <w:b/>
        <w:noProof/>
        <w:color w:val="1A2A2A"/>
        <w:sz w:val="24"/>
        <w:szCs w:val="24"/>
        <w:highlight w:val="white"/>
        <w:lang w:val="en-US"/>
      </w:rPr>
      <w:drawing>
        <wp:anchor distT="0" distB="0" distL="114300" distR="114300" simplePos="0" relativeHeight="251658240" behindDoc="1" locked="0" layoutInCell="1" allowOverlap="1" wp14:anchorId="45AF3EE5" wp14:editId="6F0CBDEA">
          <wp:simplePos x="0" y="0"/>
          <wp:positionH relativeFrom="column">
            <wp:posOffset>2308860</wp:posOffset>
          </wp:positionH>
          <wp:positionV relativeFrom="paragraph">
            <wp:posOffset>358140</wp:posOffset>
          </wp:positionV>
          <wp:extent cx="1033145" cy="894080"/>
          <wp:effectExtent l="0" t="0" r="0" b="1270"/>
          <wp:wrapTight wrapText="bothSides">
            <wp:wrapPolygon edited="0">
              <wp:start x="0" y="0"/>
              <wp:lineTo x="0" y="21170"/>
              <wp:lineTo x="21109" y="21170"/>
              <wp:lineTo x="21109" y="0"/>
              <wp:lineTo x="0" y="0"/>
            </wp:wrapPolygon>
          </wp:wrapTight>
          <wp:docPr id="2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 cstate="print">
                    <a:extLst>
                      <a:ext uri="{28A0092B-C50C-407E-A947-70E740481C1C}">
                        <a14:useLocalDpi xmlns:a14="http://schemas.microsoft.com/office/drawing/2010/main" val="0"/>
                      </a:ext>
                    </a:extLst>
                  </a:blip>
                  <a:srcRect/>
                  <a:stretch>
                    <a:fillRect/>
                  </a:stretch>
                </pic:blipFill>
                <pic:spPr>
                  <a:xfrm>
                    <a:off x="0" y="0"/>
                    <a:ext cx="1033145" cy="894080"/>
                  </a:xfrm>
                  <a:prstGeom prst="rect">
                    <a:avLst/>
                  </a:prstGeom>
                  <a:ln/>
                </pic:spPr>
              </pic:pic>
            </a:graphicData>
          </a:graphic>
        </wp:anchor>
      </w:drawing>
    </w:r>
    <w:r>
      <w:rPr>
        <w:noProof/>
        <w:lang w:val="en-US"/>
      </w:rPr>
      <w:drawing>
        <wp:inline distT="0" distB="0" distL="0" distR="0" wp14:anchorId="56DEBB55" wp14:editId="39C59980">
          <wp:extent cx="1552882" cy="1719263"/>
          <wp:effectExtent l="0" t="0" r="9525" b="0"/>
          <wp:docPr id="24"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3" cstate="print">
                    <a:extLst>
                      <a:ext uri="{28A0092B-C50C-407E-A947-70E740481C1C}">
                        <a14:useLocalDpi xmlns:a14="http://schemas.microsoft.com/office/drawing/2010/main" val="0"/>
                      </a:ext>
                    </a:extLst>
                  </a:blip>
                  <a:srcRect/>
                  <a:stretch>
                    <a:fillRect/>
                  </a:stretch>
                </pic:blipFill>
                <pic:spPr>
                  <a:xfrm>
                    <a:off x="0" y="0"/>
                    <a:ext cx="1552882" cy="1719263"/>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4F3952"/>
    <w:multiLevelType w:val="multilevel"/>
    <w:tmpl w:val="7AE648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A0E3B1C"/>
    <w:multiLevelType w:val="multilevel"/>
    <w:tmpl w:val="C584F9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DBD639C"/>
    <w:multiLevelType w:val="multilevel"/>
    <w:tmpl w:val="47E6A7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B9B4FAD"/>
    <w:multiLevelType w:val="multilevel"/>
    <w:tmpl w:val="DEC262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DE47A0F"/>
    <w:multiLevelType w:val="multilevel"/>
    <w:tmpl w:val="D854BB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FA7019F"/>
    <w:multiLevelType w:val="multilevel"/>
    <w:tmpl w:val="A2D685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1"/>
  </w:num>
  <w:num w:numId="3">
    <w:abstractNumId w:val="0"/>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3A4"/>
    <w:rsid w:val="000325BD"/>
    <w:rsid w:val="0048463E"/>
    <w:rsid w:val="009E03A4"/>
    <w:rsid w:val="00B9566A"/>
    <w:rsid w:val="00F847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1D2E33"/>
  <w15:docId w15:val="{E14FDF82-3D52-456A-9433-CB0A06724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tr"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48463E"/>
    <w:rPr>
      <w:color w:val="0000FF" w:themeColor="hyperlink"/>
      <w:u w:val="single"/>
    </w:rPr>
  </w:style>
  <w:style w:type="paragraph" w:styleId="Header">
    <w:name w:val="header"/>
    <w:basedOn w:val="Normal"/>
    <w:link w:val="HeaderChar"/>
    <w:uiPriority w:val="99"/>
    <w:unhideWhenUsed/>
    <w:rsid w:val="000325BD"/>
    <w:pPr>
      <w:tabs>
        <w:tab w:val="center" w:pos="4680"/>
        <w:tab w:val="right" w:pos="9360"/>
      </w:tabs>
      <w:spacing w:line="240" w:lineRule="auto"/>
    </w:pPr>
  </w:style>
  <w:style w:type="character" w:customStyle="1" w:styleId="HeaderChar">
    <w:name w:val="Header Char"/>
    <w:basedOn w:val="DefaultParagraphFont"/>
    <w:link w:val="Header"/>
    <w:uiPriority w:val="99"/>
    <w:rsid w:val="000325BD"/>
  </w:style>
  <w:style w:type="paragraph" w:styleId="Footer">
    <w:name w:val="footer"/>
    <w:basedOn w:val="Normal"/>
    <w:link w:val="FooterChar"/>
    <w:uiPriority w:val="99"/>
    <w:unhideWhenUsed/>
    <w:rsid w:val="000325BD"/>
    <w:pPr>
      <w:tabs>
        <w:tab w:val="center" w:pos="4680"/>
        <w:tab w:val="right" w:pos="9360"/>
      </w:tabs>
      <w:spacing w:line="240" w:lineRule="auto"/>
    </w:pPr>
  </w:style>
  <w:style w:type="character" w:customStyle="1" w:styleId="FooterChar">
    <w:name w:val="Footer Char"/>
    <w:basedOn w:val="DefaultParagraphFont"/>
    <w:link w:val="Footer"/>
    <w:uiPriority w:val="99"/>
    <w:rsid w:val="000325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drive.google.com/drive/u/1/folders/1ZwryRYOOf9_jAsGBgbV-y5IWDMesb1hV" TargetMode="External"/><Relationship Id="rId3" Type="http://schemas.openxmlformats.org/officeDocument/2006/relationships/settings" Target="settings.xml"/><Relationship Id="rId7" Type="http://schemas.openxmlformats.org/officeDocument/2006/relationships/hyperlink" Target="https://caneurope.org/report-boom-and-bust-coal-202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795</Words>
  <Characters>4533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Maša</cp:lastModifiedBy>
  <cp:revision>4</cp:revision>
  <dcterms:created xsi:type="dcterms:W3CDTF">2022-04-25T18:09:00Z</dcterms:created>
  <dcterms:modified xsi:type="dcterms:W3CDTF">2022-04-25T18:12:00Z</dcterms:modified>
</cp:coreProperties>
</file>